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1E04" w14:textId="77777777" w:rsidR="003F4898" w:rsidRPr="003F4898" w:rsidRDefault="003F4898" w:rsidP="003F4898">
      <w:pPr>
        <w:widowControl/>
        <w:shd w:val="clear" w:color="auto" w:fill="DAF2FF"/>
        <w:autoSpaceDE/>
        <w:autoSpaceDN/>
        <w:spacing w:after="300" w:line="1053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</w:pPr>
      <w:proofErr w:type="spellStart"/>
      <w:r w:rsidRPr="003F4898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  <w:t>Kognifai</w:t>
      </w:r>
      <w:proofErr w:type="spellEnd"/>
      <w:r w:rsidRPr="003F4898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en-GB"/>
        </w:rPr>
        <w:t xml:space="preserve"> Maritime </w:t>
      </w:r>
      <w:r w:rsidRPr="003F4898">
        <w:rPr>
          <w:rFonts w:ascii="Arial" w:eastAsia="Times New Roman" w:hAnsi="Arial" w:cs="Arial"/>
          <w:b/>
          <w:bCs/>
          <w:color w:val="629EF9"/>
          <w:sz w:val="32"/>
          <w:szCs w:val="32"/>
          <w:lang w:val="en-GB" w:eastAsia="en-GB"/>
        </w:rPr>
        <w:t>Support and Service Level Agreement</w:t>
      </w:r>
    </w:p>
    <w:p w14:paraId="48B64A3B" w14:textId="77777777" w:rsidR="003F4898" w:rsidRPr="003F4898" w:rsidRDefault="003F4898" w:rsidP="003F4898">
      <w:pPr>
        <w:widowControl/>
        <w:shd w:val="clear" w:color="auto" w:fill="DAF2FF"/>
        <w:autoSpaceDE/>
        <w:autoSpaceDN/>
        <w:spacing w:after="150" w:line="405" w:lineRule="atLeast"/>
        <w:rPr>
          <w:rFonts w:ascii="Arial" w:eastAsia="Times New Roman" w:hAnsi="Arial" w:cs="Arial"/>
          <w:color w:val="000000"/>
          <w:spacing w:val="-2"/>
          <w:sz w:val="32"/>
          <w:szCs w:val="32"/>
          <w:lang w:val="en-GB" w:eastAsia="en-GB"/>
        </w:rPr>
      </w:pPr>
      <w:r w:rsidRPr="003F4898">
        <w:rPr>
          <w:rFonts w:ascii="Arial" w:eastAsia="Times New Roman" w:hAnsi="Arial" w:cs="Arial"/>
          <w:color w:val="000000"/>
          <w:spacing w:val="-2"/>
          <w:sz w:val="32"/>
          <w:szCs w:val="32"/>
          <w:lang w:val="en-GB" w:eastAsia="en-GB"/>
        </w:rPr>
        <w:t xml:space="preserve">Here you can find the support and service levels you will receive as a subscriber to services and applications running on the </w:t>
      </w:r>
      <w:proofErr w:type="spellStart"/>
      <w:r w:rsidRPr="003F4898">
        <w:rPr>
          <w:rFonts w:ascii="Arial" w:eastAsia="Times New Roman" w:hAnsi="Arial" w:cs="Arial"/>
          <w:color w:val="000000"/>
          <w:spacing w:val="-2"/>
          <w:sz w:val="32"/>
          <w:szCs w:val="32"/>
          <w:lang w:val="en-GB" w:eastAsia="en-GB"/>
        </w:rPr>
        <w:t>Kognifai</w:t>
      </w:r>
      <w:proofErr w:type="spellEnd"/>
      <w:r w:rsidRPr="003F4898">
        <w:rPr>
          <w:rFonts w:ascii="Arial" w:eastAsia="Times New Roman" w:hAnsi="Arial" w:cs="Arial"/>
          <w:color w:val="000000"/>
          <w:spacing w:val="-2"/>
          <w:sz w:val="32"/>
          <w:szCs w:val="32"/>
          <w:lang w:val="en-GB" w:eastAsia="en-GB"/>
        </w:rPr>
        <w:t xml:space="preserve"> Maritime Ecosystem.</w:t>
      </w:r>
    </w:p>
    <w:p w14:paraId="2C811494" w14:textId="77777777" w:rsidR="00E16C89" w:rsidRPr="003F4898" w:rsidRDefault="00E16C89">
      <w:pPr>
        <w:pStyle w:val="Title"/>
        <w:rPr>
          <w:lang w:val="en-GB"/>
        </w:rPr>
      </w:pPr>
    </w:p>
    <w:p w14:paraId="46CBA9D6" w14:textId="5AEA108E" w:rsidR="00D26BE6" w:rsidRPr="002A4B76" w:rsidRDefault="00D26BE6" w:rsidP="00FC3948">
      <w:pPr>
        <w:widowControl/>
        <w:adjustRightInd w:val="0"/>
        <w:ind w:left="720"/>
        <w:jc w:val="both"/>
        <w:rPr>
          <w:sz w:val="27"/>
          <w:szCs w:val="27"/>
        </w:rPr>
      </w:pPr>
      <w:r w:rsidRPr="002A4B76">
        <w:rPr>
          <w:sz w:val="27"/>
          <w:szCs w:val="27"/>
        </w:rPr>
        <w:t xml:space="preserve">This </w:t>
      </w:r>
      <w:proofErr w:type="spellStart"/>
      <w:r>
        <w:rPr>
          <w:sz w:val="27"/>
          <w:szCs w:val="27"/>
        </w:rPr>
        <w:t>Kognifai</w:t>
      </w:r>
      <w:proofErr w:type="spellEnd"/>
      <w:r>
        <w:rPr>
          <w:sz w:val="27"/>
          <w:szCs w:val="27"/>
        </w:rPr>
        <w:t xml:space="preserve"> Maritime</w:t>
      </w:r>
      <w:r w:rsidRPr="002A4B76">
        <w:rPr>
          <w:sz w:val="27"/>
          <w:szCs w:val="27"/>
        </w:rPr>
        <w:t xml:space="preserve"> Support &amp; Service Level Agreement (“</w:t>
      </w:r>
      <w:r w:rsidRPr="00D538DD">
        <w:rPr>
          <w:b/>
          <w:bCs/>
          <w:sz w:val="27"/>
          <w:szCs w:val="27"/>
        </w:rPr>
        <w:t>SLA</w:t>
      </w:r>
      <w:r w:rsidRPr="002A4B76">
        <w:rPr>
          <w:sz w:val="27"/>
          <w:szCs w:val="27"/>
        </w:rPr>
        <w:t xml:space="preserve">”) is applicable to Customers who have a valid Subscription Agreement, governed by the </w:t>
      </w:r>
      <w:proofErr w:type="spellStart"/>
      <w:r>
        <w:rPr>
          <w:sz w:val="27"/>
          <w:szCs w:val="27"/>
        </w:rPr>
        <w:t>Kognifai</w:t>
      </w:r>
      <w:proofErr w:type="spellEnd"/>
      <w:r>
        <w:rPr>
          <w:sz w:val="27"/>
          <w:szCs w:val="27"/>
        </w:rPr>
        <w:t xml:space="preserve"> Maritime</w:t>
      </w:r>
      <w:r w:rsidRPr="002A4B76">
        <w:rPr>
          <w:sz w:val="27"/>
          <w:szCs w:val="27"/>
        </w:rPr>
        <w:t xml:space="preserve"> Terms of Use (“</w:t>
      </w:r>
      <w:r w:rsidRPr="00D538DD">
        <w:rPr>
          <w:b/>
          <w:bCs/>
          <w:sz w:val="27"/>
          <w:szCs w:val="27"/>
        </w:rPr>
        <w:t>Terms of Use</w:t>
      </w:r>
      <w:r w:rsidRPr="002A4B76">
        <w:rPr>
          <w:sz w:val="27"/>
          <w:szCs w:val="27"/>
        </w:rPr>
        <w:t>”), for access to K</w:t>
      </w:r>
      <w:r w:rsidR="001C6D8A">
        <w:rPr>
          <w:sz w:val="27"/>
          <w:szCs w:val="27"/>
        </w:rPr>
        <w:t>-Sim AS</w:t>
      </w:r>
      <w:r w:rsidRPr="002A4B76">
        <w:rPr>
          <w:sz w:val="27"/>
          <w:szCs w:val="27"/>
        </w:rPr>
        <w:t>’</w:t>
      </w:r>
      <w:r w:rsidR="001C6D8A">
        <w:rPr>
          <w:sz w:val="27"/>
          <w:szCs w:val="27"/>
        </w:rPr>
        <w:t xml:space="preserve"> (“</w:t>
      </w:r>
      <w:r w:rsidR="001C6D8A" w:rsidRPr="001C6D8A">
        <w:rPr>
          <w:b/>
          <w:bCs/>
          <w:sz w:val="27"/>
          <w:szCs w:val="27"/>
        </w:rPr>
        <w:t>Kongsberg</w:t>
      </w:r>
      <w:r w:rsidR="001C6D8A">
        <w:rPr>
          <w:sz w:val="27"/>
          <w:szCs w:val="27"/>
        </w:rPr>
        <w:t>”)</w:t>
      </w:r>
      <w:r w:rsidRPr="002A4B7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Kognifai</w:t>
      </w:r>
      <w:proofErr w:type="spellEnd"/>
      <w:r>
        <w:rPr>
          <w:sz w:val="27"/>
          <w:szCs w:val="27"/>
        </w:rPr>
        <w:t xml:space="preserve"> Maritime Ecosystem</w:t>
      </w:r>
      <w:r w:rsidRPr="002A4B76">
        <w:rPr>
          <w:sz w:val="27"/>
          <w:szCs w:val="27"/>
        </w:rPr>
        <w:t>.</w:t>
      </w:r>
      <w:r>
        <w:rPr>
          <w:sz w:val="27"/>
          <w:szCs w:val="27"/>
        </w:rPr>
        <w:t xml:space="preserve"> M</w:t>
      </w:r>
      <w:r w:rsidRPr="002A4B76">
        <w:rPr>
          <w:sz w:val="27"/>
          <w:szCs w:val="27"/>
        </w:rPr>
        <w:t xml:space="preserve">aintenance and support </w:t>
      </w:r>
      <w:r>
        <w:rPr>
          <w:sz w:val="27"/>
          <w:szCs w:val="27"/>
        </w:rPr>
        <w:t xml:space="preserve">shall be provided </w:t>
      </w:r>
      <w:r w:rsidRPr="002A4B76">
        <w:rPr>
          <w:sz w:val="27"/>
          <w:szCs w:val="27"/>
        </w:rPr>
        <w:t xml:space="preserve">as described herein, to maintain the </w:t>
      </w:r>
      <w:proofErr w:type="spellStart"/>
      <w:r>
        <w:rPr>
          <w:sz w:val="27"/>
          <w:szCs w:val="27"/>
        </w:rPr>
        <w:t>Kognifai</w:t>
      </w:r>
      <w:proofErr w:type="spellEnd"/>
      <w:r>
        <w:rPr>
          <w:sz w:val="27"/>
          <w:szCs w:val="27"/>
        </w:rPr>
        <w:t xml:space="preserve"> Services</w:t>
      </w:r>
      <w:r w:rsidRPr="002A4B76">
        <w:rPr>
          <w:sz w:val="27"/>
          <w:szCs w:val="27"/>
        </w:rPr>
        <w:t xml:space="preserve"> in good working order. </w:t>
      </w:r>
    </w:p>
    <w:p w14:paraId="0E3F536F" w14:textId="1DB4E463" w:rsidR="00D26BE6" w:rsidRDefault="00D26BE6" w:rsidP="00FC3948">
      <w:pPr>
        <w:widowControl/>
        <w:adjustRightInd w:val="0"/>
        <w:ind w:left="720"/>
        <w:jc w:val="both"/>
        <w:rPr>
          <w:sz w:val="27"/>
          <w:szCs w:val="27"/>
        </w:rPr>
      </w:pPr>
      <w:r w:rsidRPr="002A4B76">
        <w:rPr>
          <w:sz w:val="27"/>
          <w:szCs w:val="27"/>
        </w:rPr>
        <w:t>Capitalized terms shall have the meanings set forth in the Terms of Use, or in the section where they are first used herein.</w:t>
      </w:r>
      <w:r>
        <w:rPr>
          <w:sz w:val="27"/>
          <w:szCs w:val="27"/>
        </w:rPr>
        <w:t xml:space="preserve"> </w:t>
      </w:r>
      <w:r w:rsidR="00384D4F" w:rsidRPr="00384D4F">
        <w:rPr>
          <w:sz w:val="27"/>
          <w:szCs w:val="27"/>
        </w:rPr>
        <w:t>In the event of any conflict, both the Subscription Agreement and the Terms of Use shall prevail over this SLA.</w:t>
      </w:r>
    </w:p>
    <w:p w14:paraId="277BC4B2" w14:textId="77777777" w:rsidR="0076331A" w:rsidRPr="00E16C89" w:rsidRDefault="0076331A" w:rsidP="00FC3948">
      <w:pPr>
        <w:widowControl/>
        <w:adjustRightInd w:val="0"/>
        <w:ind w:left="720"/>
        <w:jc w:val="both"/>
        <w:rPr>
          <w:sz w:val="27"/>
          <w:szCs w:val="27"/>
        </w:rPr>
      </w:pPr>
    </w:p>
    <w:p w14:paraId="6D43501F" w14:textId="6570D001" w:rsidR="007967DB" w:rsidRDefault="005315C3" w:rsidP="00FC3948">
      <w:pPr>
        <w:pStyle w:val="BodyText"/>
        <w:spacing w:before="10"/>
        <w:ind w:left="720"/>
        <w:jc w:val="left"/>
      </w:pPr>
      <w:proofErr w:type="spellStart"/>
      <w:r>
        <w:t>Kognifai</w:t>
      </w:r>
      <w:proofErr w:type="spellEnd"/>
      <w:r w:rsidR="00E16C89" w:rsidRPr="00E16C89">
        <w:t xml:space="preserve"> Services covered by this SLA include:</w:t>
      </w:r>
    </w:p>
    <w:p w14:paraId="4A5F9066" w14:textId="77777777" w:rsidR="00634364" w:rsidRPr="00E16C89" w:rsidRDefault="00634364" w:rsidP="00E16C89">
      <w:pPr>
        <w:pStyle w:val="BodyText"/>
        <w:spacing w:before="10"/>
        <w:ind w:left="720"/>
        <w:jc w:val="left"/>
      </w:pPr>
    </w:p>
    <w:tbl>
      <w:tblPr>
        <w:tblW w:w="0" w:type="auto"/>
        <w:tblInd w:w="704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4228"/>
        <w:gridCol w:w="2718"/>
      </w:tblGrid>
      <w:tr w:rsidR="007967DB" w14:paraId="6D435028" w14:textId="77777777" w:rsidTr="00FC3948">
        <w:trPr>
          <w:trHeight w:val="918"/>
        </w:trPr>
        <w:tc>
          <w:tcPr>
            <w:tcW w:w="1895" w:type="dxa"/>
          </w:tcPr>
          <w:p w14:paraId="6D435020" w14:textId="77777777" w:rsidR="007967DB" w:rsidRDefault="007967DB">
            <w:pPr>
              <w:pStyle w:val="TableParagraph"/>
              <w:spacing w:before="2"/>
              <w:rPr>
                <w:sz w:val="19"/>
              </w:rPr>
            </w:pPr>
          </w:p>
          <w:p w14:paraId="110B8B98" w14:textId="77777777" w:rsidR="000C630E" w:rsidRDefault="000C630E">
            <w:pPr>
              <w:pStyle w:val="TableParagraph"/>
              <w:ind w:left="225"/>
              <w:rPr>
                <w:b/>
                <w:sz w:val="20"/>
              </w:rPr>
            </w:pPr>
          </w:p>
          <w:p w14:paraId="6D435021" w14:textId="5AEB543D" w:rsidR="007967DB" w:rsidRDefault="00A84487">
            <w:pPr>
              <w:pStyle w:val="TableParagraph"/>
              <w:ind w:left="2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Kognifai</w:t>
            </w:r>
            <w:proofErr w:type="spellEnd"/>
            <w:r>
              <w:rPr>
                <w:b/>
                <w:sz w:val="20"/>
              </w:rPr>
              <w:t xml:space="preserve"> Services</w:t>
            </w:r>
          </w:p>
        </w:tc>
        <w:tc>
          <w:tcPr>
            <w:tcW w:w="4228" w:type="dxa"/>
          </w:tcPr>
          <w:p w14:paraId="6D435022" w14:textId="77777777" w:rsidR="007967DB" w:rsidRDefault="007967DB">
            <w:pPr>
              <w:pStyle w:val="TableParagraph"/>
            </w:pPr>
          </w:p>
          <w:p w14:paraId="6D435023" w14:textId="77777777" w:rsidR="007967DB" w:rsidRDefault="007967DB">
            <w:pPr>
              <w:pStyle w:val="TableParagraph"/>
              <w:spacing w:before="2"/>
              <w:rPr>
                <w:sz w:val="17"/>
              </w:rPr>
            </w:pPr>
          </w:p>
          <w:p w14:paraId="6D435024" w14:textId="77777777" w:rsidR="007967DB" w:rsidRDefault="006521C4">
            <w:pPr>
              <w:pStyle w:val="TableParagraph"/>
              <w:spacing w:before="1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718" w:type="dxa"/>
          </w:tcPr>
          <w:p w14:paraId="6D435025" w14:textId="77777777" w:rsidR="007967DB" w:rsidRDefault="007967DB">
            <w:pPr>
              <w:pStyle w:val="TableParagraph"/>
            </w:pPr>
          </w:p>
          <w:p w14:paraId="6D435026" w14:textId="77777777" w:rsidR="007967DB" w:rsidRDefault="007967DB">
            <w:pPr>
              <w:pStyle w:val="TableParagraph"/>
              <w:spacing w:before="2"/>
              <w:rPr>
                <w:sz w:val="17"/>
              </w:rPr>
            </w:pPr>
          </w:p>
          <w:p w14:paraId="6D435027" w14:textId="77777777" w:rsidR="007967DB" w:rsidRDefault="006521C4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Delivered by</w:t>
            </w:r>
          </w:p>
        </w:tc>
      </w:tr>
      <w:tr w:rsidR="007967DB" w14:paraId="6D435031" w14:textId="77777777" w:rsidTr="00FC3948">
        <w:trPr>
          <w:trHeight w:val="1154"/>
        </w:trPr>
        <w:tc>
          <w:tcPr>
            <w:tcW w:w="1895" w:type="dxa"/>
          </w:tcPr>
          <w:p w14:paraId="6D435029" w14:textId="77777777" w:rsidR="007967DB" w:rsidRDefault="007967DB" w:rsidP="00520870">
            <w:pPr>
              <w:pStyle w:val="TableParagraph"/>
              <w:jc w:val="center"/>
            </w:pPr>
          </w:p>
          <w:p w14:paraId="6D43502B" w14:textId="77777777" w:rsidR="007967DB" w:rsidRDefault="006521C4" w:rsidP="005F1F23">
            <w:pPr>
              <w:pStyle w:val="TableParagraph"/>
              <w:spacing w:before="177"/>
              <w:jc w:val="center"/>
              <w:rPr>
                <w:sz w:val="20"/>
              </w:rPr>
            </w:pPr>
            <w:r>
              <w:rPr>
                <w:sz w:val="20"/>
              </w:rPr>
              <w:t>Vessel Insight</w:t>
            </w:r>
          </w:p>
        </w:tc>
        <w:tc>
          <w:tcPr>
            <w:tcW w:w="4228" w:type="dxa"/>
          </w:tcPr>
          <w:p w14:paraId="6D43502C" w14:textId="77777777" w:rsidR="007967DB" w:rsidRDefault="007967DB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6D43502D" w14:textId="3C07D489" w:rsidR="007967DB" w:rsidRDefault="006521C4" w:rsidP="00520870">
            <w:pPr>
              <w:pStyle w:val="TableParagraph"/>
              <w:ind w:left="225" w:right="6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Vessel to cloud data infrastructure consisting of </w:t>
            </w:r>
            <w:r w:rsidR="00762F28">
              <w:rPr>
                <w:sz w:val="20"/>
              </w:rPr>
              <w:t>Kongsberg H</w:t>
            </w:r>
            <w:r>
              <w:rPr>
                <w:sz w:val="20"/>
              </w:rPr>
              <w:t>ardware</w:t>
            </w:r>
            <w:r w:rsidR="00891CC4">
              <w:rPr>
                <w:sz w:val="20"/>
              </w:rPr>
              <w:t xml:space="preserve">, </w:t>
            </w:r>
            <w:r>
              <w:rPr>
                <w:sz w:val="20"/>
              </w:rPr>
              <w:t>software</w:t>
            </w:r>
            <w:r w:rsidR="00891CC4">
              <w:rPr>
                <w:sz w:val="20"/>
              </w:rPr>
              <w:t xml:space="preserve"> and services</w:t>
            </w:r>
          </w:p>
        </w:tc>
        <w:tc>
          <w:tcPr>
            <w:tcW w:w="2718" w:type="dxa"/>
          </w:tcPr>
          <w:p w14:paraId="6D435030" w14:textId="2AA94964" w:rsidR="007967DB" w:rsidRDefault="00A84487" w:rsidP="005F1F23">
            <w:pPr>
              <w:pStyle w:val="TableParagraph"/>
              <w:spacing w:before="177"/>
              <w:jc w:val="center"/>
              <w:rPr>
                <w:sz w:val="20"/>
              </w:rPr>
            </w:pPr>
            <w:r>
              <w:rPr>
                <w:sz w:val="20"/>
              </w:rPr>
              <w:t>Kongsberg or an Affiliate or authorized reseller</w:t>
            </w:r>
          </w:p>
        </w:tc>
      </w:tr>
      <w:tr w:rsidR="000C630E" w14:paraId="373CC2EC" w14:textId="77777777" w:rsidTr="00FC3948">
        <w:trPr>
          <w:trHeight w:val="1154"/>
        </w:trPr>
        <w:tc>
          <w:tcPr>
            <w:tcW w:w="1895" w:type="dxa"/>
          </w:tcPr>
          <w:p w14:paraId="2D945A0A" w14:textId="77777777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2F4EF30C" w14:textId="77777777" w:rsidR="000C630E" w:rsidRDefault="000C630E" w:rsidP="00520870">
            <w:pPr>
              <w:pStyle w:val="TableParagraph"/>
              <w:ind w:left="225"/>
              <w:jc w:val="center"/>
              <w:rPr>
                <w:sz w:val="20"/>
              </w:rPr>
            </w:pPr>
            <w:r>
              <w:rPr>
                <w:sz w:val="20"/>
              </w:rPr>
              <w:t>Kongsberg</w:t>
            </w:r>
          </w:p>
          <w:p w14:paraId="1733985B" w14:textId="02CEDCCB" w:rsidR="000C630E" w:rsidRDefault="000C630E" w:rsidP="00520870">
            <w:pPr>
              <w:pStyle w:val="TableParagraph"/>
              <w:jc w:val="center"/>
            </w:pPr>
            <w:r>
              <w:rPr>
                <w:sz w:val="20"/>
              </w:rPr>
              <w:t>Applications</w:t>
            </w:r>
          </w:p>
        </w:tc>
        <w:tc>
          <w:tcPr>
            <w:tcW w:w="4228" w:type="dxa"/>
          </w:tcPr>
          <w:p w14:paraId="54F90B85" w14:textId="77777777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3168A790" w14:textId="713BDADC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  <w:r w:rsidRPr="0001393D">
              <w:rPr>
                <w:sz w:val="20"/>
              </w:rPr>
              <w:t xml:space="preserve">Kongsberg Applications made available through the </w:t>
            </w:r>
            <w:proofErr w:type="spellStart"/>
            <w:r w:rsidRPr="0001393D">
              <w:rPr>
                <w:sz w:val="20"/>
              </w:rPr>
              <w:t>Kognifai</w:t>
            </w:r>
            <w:proofErr w:type="spellEnd"/>
            <w:r w:rsidRPr="0001393D">
              <w:rPr>
                <w:sz w:val="20"/>
              </w:rPr>
              <w:t xml:space="preserve"> Maritime Ecosystem</w:t>
            </w:r>
            <w:r>
              <w:rPr>
                <w:sz w:val="20"/>
              </w:rPr>
              <w:t xml:space="preserve"> </w:t>
            </w:r>
            <w:r w:rsidRPr="008C6165">
              <w:rPr>
                <w:sz w:val="20"/>
              </w:rPr>
              <w:t>(Vessel Insight Ecosystem)</w:t>
            </w:r>
          </w:p>
        </w:tc>
        <w:tc>
          <w:tcPr>
            <w:tcW w:w="2718" w:type="dxa"/>
          </w:tcPr>
          <w:p w14:paraId="20483032" w14:textId="77777777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16F10440" w14:textId="0C6DB4D3" w:rsidR="000C630E" w:rsidRDefault="000C630E" w:rsidP="00520870">
            <w:pPr>
              <w:pStyle w:val="TableParagraph"/>
              <w:jc w:val="center"/>
            </w:pPr>
            <w:r>
              <w:rPr>
                <w:sz w:val="20"/>
              </w:rPr>
              <w:t xml:space="preserve">Kongsberg Maritime AS, Coach Solutions </w:t>
            </w:r>
            <w:proofErr w:type="spellStart"/>
            <w:r>
              <w:rPr>
                <w:sz w:val="20"/>
              </w:rPr>
              <w:t>ApS</w:t>
            </w:r>
            <w:proofErr w:type="spellEnd"/>
            <w:r>
              <w:rPr>
                <w:sz w:val="20"/>
              </w:rPr>
              <w:t xml:space="preserve"> and other Affiliates</w:t>
            </w:r>
          </w:p>
        </w:tc>
      </w:tr>
      <w:tr w:rsidR="000C630E" w14:paraId="6D435039" w14:textId="77777777" w:rsidTr="00FC3948">
        <w:trPr>
          <w:trHeight w:val="918"/>
        </w:trPr>
        <w:tc>
          <w:tcPr>
            <w:tcW w:w="1895" w:type="dxa"/>
          </w:tcPr>
          <w:p w14:paraId="6D435032" w14:textId="77777777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6D435033" w14:textId="2532B7B3" w:rsidR="000C630E" w:rsidRDefault="000C630E" w:rsidP="00520870">
            <w:pPr>
              <w:pStyle w:val="TableParagraph"/>
              <w:ind w:left="225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Third Party </w:t>
            </w:r>
            <w:r>
              <w:rPr>
                <w:w w:val="95"/>
                <w:sz w:val="20"/>
              </w:rPr>
              <w:t>Applications</w:t>
            </w:r>
          </w:p>
        </w:tc>
        <w:tc>
          <w:tcPr>
            <w:tcW w:w="4228" w:type="dxa"/>
          </w:tcPr>
          <w:p w14:paraId="6D435034" w14:textId="77777777" w:rsidR="000C630E" w:rsidRDefault="000C630E" w:rsidP="00520870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6D435035" w14:textId="5A6F3FA2" w:rsidR="000C630E" w:rsidRDefault="000C630E" w:rsidP="00520870">
            <w:pPr>
              <w:pStyle w:val="TableParagraph"/>
              <w:ind w:left="225" w:right="29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Third Party Applications and services made available through the </w:t>
            </w:r>
            <w:proofErr w:type="spellStart"/>
            <w:r>
              <w:rPr>
                <w:sz w:val="20"/>
              </w:rPr>
              <w:t>Kognifai</w:t>
            </w:r>
            <w:proofErr w:type="spellEnd"/>
            <w:r>
              <w:rPr>
                <w:sz w:val="20"/>
              </w:rPr>
              <w:t xml:space="preserve"> Maritime Ecosystem (Vessel Insight Ecosystem)</w:t>
            </w:r>
          </w:p>
        </w:tc>
        <w:tc>
          <w:tcPr>
            <w:tcW w:w="2718" w:type="dxa"/>
          </w:tcPr>
          <w:p w14:paraId="6D435036" w14:textId="77777777" w:rsidR="000C630E" w:rsidRDefault="000C630E" w:rsidP="00520870">
            <w:pPr>
              <w:pStyle w:val="TableParagraph"/>
              <w:jc w:val="center"/>
            </w:pPr>
          </w:p>
          <w:p w14:paraId="665279D4" w14:textId="77777777" w:rsidR="00520870" w:rsidRDefault="00520870" w:rsidP="00520870">
            <w:pPr>
              <w:pStyle w:val="TableParagraph"/>
              <w:jc w:val="center"/>
              <w:rPr>
                <w:sz w:val="17"/>
              </w:rPr>
            </w:pPr>
          </w:p>
          <w:p w14:paraId="6D435038" w14:textId="5F129106" w:rsidR="000C630E" w:rsidRDefault="000C630E" w:rsidP="005208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Authorized Partners</w:t>
            </w:r>
          </w:p>
        </w:tc>
      </w:tr>
    </w:tbl>
    <w:p w14:paraId="6D435042" w14:textId="77777777" w:rsidR="007967DB" w:rsidRDefault="007967DB">
      <w:pPr>
        <w:pStyle w:val="BodyText"/>
        <w:ind w:left="0"/>
        <w:jc w:val="left"/>
        <w:rPr>
          <w:sz w:val="32"/>
        </w:rPr>
      </w:pPr>
    </w:p>
    <w:p w14:paraId="6D435043" w14:textId="77777777" w:rsidR="007967DB" w:rsidRDefault="007967DB">
      <w:pPr>
        <w:pStyle w:val="BodyText"/>
        <w:ind w:left="0"/>
        <w:jc w:val="left"/>
        <w:rPr>
          <w:sz w:val="40"/>
        </w:rPr>
      </w:pPr>
    </w:p>
    <w:p w14:paraId="6D435044" w14:textId="77777777" w:rsidR="007967DB" w:rsidRDefault="006521C4" w:rsidP="00362CB3">
      <w:pPr>
        <w:pStyle w:val="Heading1"/>
        <w:numPr>
          <w:ilvl w:val="0"/>
          <w:numId w:val="6"/>
        </w:numPr>
        <w:jc w:val="both"/>
      </w:pPr>
      <w:bookmarkStart w:id="0" w:name="SERVICE_LEVEL_OBJECTIVES"/>
      <w:bookmarkEnd w:id="0"/>
      <w:r>
        <w:t>SERVICE LEVEL OBJECTIVES</w:t>
      </w:r>
    </w:p>
    <w:p w14:paraId="6D435045" w14:textId="3A2C298A" w:rsidR="007967DB" w:rsidRDefault="006521C4">
      <w:pPr>
        <w:pStyle w:val="BodyText"/>
        <w:spacing w:before="280"/>
        <w:ind w:left="475" w:right="112"/>
      </w:pPr>
      <w:r>
        <w:t>K</w:t>
      </w:r>
      <w:r w:rsidR="00ED70AE">
        <w:t>ongsberg</w:t>
      </w:r>
      <w:r>
        <w:t xml:space="preserve"> is committed to providing high quality and secure services to its customers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effort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ensure</w:t>
      </w:r>
      <w:r>
        <w:rPr>
          <w:spacing w:val="-19"/>
        </w:rPr>
        <w:t xml:space="preserve"> </w:t>
      </w:r>
      <w:r>
        <w:t>24X7</w:t>
      </w:r>
      <w:r>
        <w:rPr>
          <w:spacing w:val="-17"/>
        </w:rPr>
        <w:t xml:space="preserve"> </w:t>
      </w:r>
      <w:r>
        <w:t>availability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proofErr w:type="spellStart"/>
      <w:r w:rsidR="00242387">
        <w:t>Kognifai</w:t>
      </w:r>
      <w:proofErr w:type="spellEnd"/>
      <w:r w:rsidR="00EF4F8F">
        <w:t xml:space="preserve"> Services</w:t>
      </w:r>
      <w:r>
        <w:t xml:space="preserve">. Service level objectives provide a quantitative measure of </w:t>
      </w:r>
      <w:r w:rsidR="0076331A">
        <w:t>the level</w:t>
      </w:r>
      <w:r>
        <w:t xml:space="preserve"> of service. Information   about   the   status   of   the   service   can   be   found     at</w:t>
      </w:r>
      <w:r>
        <w:rPr>
          <w:spacing w:val="-2"/>
        </w:rPr>
        <w:t xml:space="preserve"> </w:t>
      </w:r>
      <w:hyperlink r:id="rId10">
        <w:r>
          <w:rPr>
            <w:color w:val="2C99A9"/>
          </w:rPr>
          <w:t>https://vesselinsight.statuspage.io/</w:t>
        </w:r>
      </w:hyperlink>
    </w:p>
    <w:p w14:paraId="7C9DCBD6" w14:textId="79867C11" w:rsidR="00C62F6A" w:rsidRDefault="00C62F6A" w:rsidP="003C7861">
      <w:pPr>
        <w:pStyle w:val="BodyText"/>
        <w:spacing w:before="280"/>
        <w:ind w:left="475" w:right="112"/>
      </w:pPr>
      <w:r w:rsidRPr="07B08EE5">
        <w:t xml:space="preserve">Services that typically involve consultancy, remote configuration, remote training, remote supervision, modifications, etc. is not included in this SLA, but </w:t>
      </w:r>
      <w:r>
        <w:t>may be provided as additional services,</w:t>
      </w:r>
      <w:r w:rsidRPr="07B08EE5">
        <w:t xml:space="preserve"> </w:t>
      </w:r>
      <w:r>
        <w:t>subject to availability of K</w:t>
      </w:r>
      <w:r w:rsidR="009456ED">
        <w:t>ongsberg</w:t>
      </w:r>
      <w:r>
        <w:t>’s resources and additional payment at K</w:t>
      </w:r>
      <w:r w:rsidR="009456ED">
        <w:t>ongsberg</w:t>
      </w:r>
      <w:r>
        <w:t>’s standard rates.</w:t>
      </w:r>
      <w:r w:rsidRPr="07B08EE5">
        <w:t xml:space="preserve"> </w:t>
      </w:r>
    </w:p>
    <w:p w14:paraId="6D435046" w14:textId="356EF445" w:rsidR="007967DB" w:rsidRDefault="006521C4">
      <w:pPr>
        <w:pStyle w:val="BodyText"/>
        <w:spacing w:before="280"/>
        <w:ind w:left="475"/>
      </w:pPr>
      <w:r>
        <w:t xml:space="preserve">The following </w:t>
      </w:r>
      <w:r w:rsidR="007351E4">
        <w:t xml:space="preserve">service level </w:t>
      </w:r>
      <w:r>
        <w:t>objectives are defined:</w:t>
      </w:r>
    </w:p>
    <w:p w14:paraId="6D435047" w14:textId="51121482" w:rsidR="007967DB" w:rsidRDefault="0007061A">
      <w:pPr>
        <w:pStyle w:val="Heading2"/>
        <w:jc w:val="left"/>
      </w:pPr>
      <w:bookmarkStart w:id="1" w:name="AVAILABILITY"/>
      <w:bookmarkEnd w:id="1"/>
      <w:r>
        <w:t xml:space="preserve">1.1 </w:t>
      </w:r>
      <w:r w:rsidR="006521C4">
        <w:t>AVAILABILITY</w:t>
      </w:r>
    </w:p>
    <w:p w14:paraId="6D435048" w14:textId="308A0AE7" w:rsidR="007967DB" w:rsidRDefault="006521C4">
      <w:pPr>
        <w:pStyle w:val="BodyText"/>
        <w:spacing w:before="280"/>
        <w:ind w:right="113"/>
      </w:pPr>
      <w:r>
        <w:t xml:space="preserve">The service level objective for </w:t>
      </w:r>
      <w:r w:rsidR="00746E2E">
        <w:t xml:space="preserve">all </w:t>
      </w:r>
      <w:proofErr w:type="spellStart"/>
      <w:r w:rsidR="00746E2E">
        <w:t>Kognifai</w:t>
      </w:r>
      <w:proofErr w:type="spellEnd"/>
      <w:r w:rsidR="00746E2E">
        <w:t xml:space="preserve"> Services </w:t>
      </w:r>
      <w:r>
        <w:t>is to achieve a minimum of 98 % availability measured monthly.</w:t>
      </w:r>
      <w:r w:rsidR="006D5CA5">
        <w:t xml:space="preserve"> </w:t>
      </w:r>
      <w:r>
        <w:t>K</w:t>
      </w:r>
      <w:r w:rsidR="002C1DB3">
        <w:t>ongsberg</w:t>
      </w:r>
      <w:r>
        <w:t xml:space="preserve"> will conduct system maintenance to ensure the achievement of this objective.</w:t>
      </w:r>
      <w:r w:rsidR="006D5CA5">
        <w:t xml:space="preserve"> </w:t>
      </w:r>
      <w:r>
        <w:t>Information about planned and ongoing maintenance can be found at</w:t>
      </w:r>
      <w:r>
        <w:rPr>
          <w:spacing w:val="56"/>
        </w:rPr>
        <w:t xml:space="preserve"> </w:t>
      </w:r>
      <w:hyperlink r:id="rId11">
        <w:r>
          <w:rPr>
            <w:color w:val="2C99A9"/>
          </w:rPr>
          <w:t>https://vesselinsight.statuspage.io/</w:t>
        </w:r>
      </w:hyperlink>
    </w:p>
    <w:p w14:paraId="6D43504B" w14:textId="4D272E67" w:rsidR="007967DB" w:rsidRDefault="006521C4" w:rsidP="007933A1">
      <w:pPr>
        <w:pStyle w:val="BodyText"/>
        <w:spacing w:before="279"/>
        <w:ind w:left="475" w:right="114"/>
      </w:pPr>
      <w:r>
        <w:t>Maintenance might result in service downtime. Downtime because of system maintenance is not included in the calculation of the availability metric</w:t>
      </w:r>
      <w:r w:rsidR="0031592A">
        <w:t xml:space="preserve">. </w:t>
      </w:r>
      <w:r w:rsidR="007933A1">
        <w:t>For a</w:t>
      </w:r>
      <w:r>
        <w:t>dditional information on availability, system maintenance and downtime</w:t>
      </w:r>
      <w:r w:rsidR="007933A1">
        <w:t>,</w:t>
      </w:r>
      <w:r>
        <w:t xml:space="preserve"> </w:t>
      </w:r>
      <w:r w:rsidR="00BC05C4">
        <w:t xml:space="preserve">refer to clause </w:t>
      </w:r>
      <w:r w:rsidR="000939AD">
        <w:t>6</w:t>
      </w:r>
      <w:r w:rsidR="00BC05C4">
        <w:t xml:space="preserve"> herein.</w:t>
      </w:r>
    </w:p>
    <w:p w14:paraId="6D43504C" w14:textId="7806150C" w:rsidR="007967DB" w:rsidRDefault="008A47C0" w:rsidP="0031592A">
      <w:pPr>
        <w:pStyle w:val="Heading2"/>
        <w:jc w:val="left"/>
      </w:pPr>
      <w:bookmarkStart w:id="2" w:name="SUPPORT_RESPONSE_TIME"/>
      <w:bookmarkEnd w:id="2"/>
      <w:r>
        <w:t xml:space="preserve">1.2 </w:t>
      </w:r>
      <w:r w:rsidR="006521C4">
        <w:t>SUPPORT RESPONSE TI</w:t>
      </w:r>
      <w:r>
        <w:t>ME</w:t>
      </w:r>
    </w:p>
    <w:p w14:paraId="1771CB66" w14:textId="77777777" w:rsidR="006716E6" w:rsidRDefault="006716E6" w:rsidP="006716E6">
      <w:pPr>
        <w:pStyle w:val="BodyText"/>
        <w:spacing w:before="278"/>
        <w:ind w:left="475"/>
      </w:pPr>
      <w:r>
        <w:t xml:space="preserve">Kongsberg Support provides 1st line of support to identify problems, suggest actions and correct defects. </w:t>
      </w:r>
    </w:p>
    <w:p w14:paraId="7C125C0A" w14:textId="726FD944" w:rsidR="00DE47F9" w:rsidRDefault="006716E6" w:rsidP="00F85902">
      <w:pPr>
        <w:pStyle w:val="BodyText"/>
        <w:spacing w:before="278"/>
      </w:pPr>
      <w:proofErr w:type="gramStart"/>
      <w:r>
        <w:t>Customer</w:t>
      </w:r>
      <w:proofErr w:type="gramEnd"/>
      <w:r>
        <w:t xml:space="preserve"> shall notify Kongsberg Support of any defects in </w:t>
      </w:r>
      <w:proofErr w:type="spellStart"/>
      <w:r w:rsidR="00704279">
        <w:t>Kognifai</w:t>
      </w:r>
      <w:proofErr w:type="spellEnd"/>
      <w:r>
        <w:t xml:space="preserve"> Services by utilizing the following email address: </w:t>
      </w:r>
    </w:p>
    <w:p w14:paraId="6D43504F" w14:textId="25F254FA" w:rsidR="007967DB" w:rsidRDefault="00E1418D" w:rsidP="00F85902">
      <w:pPr>
        <w:pStyle w:val="BodyText"/>
        <w:spacing w:before="279"/>
      </w:pPr>
      <w:hyperlink r:id="rId12" w:history="1">
        <w:r w:rsidRPr="00F85902">
          <w:rPr>
            <w:rStyle w:val="Hyperlink"/>
          </w:rPr>
          <w:t>Email: vessel.insight@kdisupport24.com</w:t>
        </w:r>
      </w:hyperlink>
      <w:r w:rsidR="16A0061E" w:rsidRPr="63DC08EC">
        <w:rPr>
          <w:color w:val="000000" w:themeColor="text1"/>
        </w:rPr>
        <w:t xml:space="preserve">    </w:t>
      </w:r>
      <w:r w:rsidR="16A0061E">
        <w:t xml:space="preserve"> </w:t>
      </w:r>
    </w:p>
    <w:p w14:paraId="6D435050" w14:textId="0101AA11" w:rsidR="007967DB" w:rsidRDefault="009F0309">
      <w:pPr>
        <w:pStyle w:val="BodyText"/>
        <w:spacing w:before="281"/>
        <w:ind w:left="475" w:right="112"/>
      </w:pPr>
      <w:proofErr w:type="gramStart"/>
      <w:r w:rsidRPr="009F0309">
        <w:t>Customer</w:t>
      </w:r>
      <w:proofErr w:type="gramEnd"/>
      <w:r w:rsidRPr="009F0309">
        <w:t xml:space="preserve"> </w:t>
      </w:r>
      <w:proofErr w:type="gramStart"/>
      <w:r w:rsidRPr="009F0309">
        <w:t>shall</w:t>
      </w:r>
      <w:proofErr w:type="gramEnd"/>
      <w:r w:rsidRPr="009F0309">
        <w:t xml:space="preserve"> provide Kongsberg Support with a written description of the defect and the circumstances where the defect occurred or was discovered.</w:t>
      </w:r>
      <w:r>
        <w:t xml:space="preserve"> </w:t>
      </w:r>
      <w:r w:rsidR="00A71DFC">
        <w:t xml:space="preserve">Kongsberg Support </w:t>
      </w:r>
      <w:r w:rsidR="006521C4">
        <w:t xml:space="preserve">categorizes </w:t>
      </w:r>
      <w:r w:rsidR="00A2235D">
        <w:t>C</w:t>
      </w:r>
      <w:r w:rsidR="006521C4">
        <w:t>ustomer requests as either defect, change request or other. K</w:t>
      </w:r>
      <w:r w:rsidR="009D40E2">
        <w:t>ongsberg</w:t>
      </w:r>
      <w:r w:rsidR="006521C4">
        <w:t xml:space="preserve"> Support </w:t>
      </w:r>
      <w:r w:rsidR="009D40E2">
        <w:t xml:space="preserve">is </w:t>
      </w:r>
      <w:r w:rsidR="006521C4">
        <w:t>also responsible for escalation</w:t>
      </w:r>
      <w:r w:rsidR="00DE47F9">
        <w:t xml:space="preserve"> </w:t>
      </w:r>
      <w:r w:rsidR="006521C4">
        <w:t>of incidents to 2</w:t>
      </w:r>
      <w:proofErr w:type="spellStart"/>
      <w:r w:rsidR="006521C4">
        <w:rPr>
          <w:position w:val="6"/>
          <w:sz w:val="16"/>
        </w:rPr>
        <w:t>nd</w:t>
      </w:r>
      <w:proofErr w:type="spellEnd"/>
      <w:r w:rsidR="006521C4">
        <w:rPr>
          <w:position w:val="6"/>
          <w:sz w:val="16"/>
        </w:rPr>
        <w:t xml:space="preserve"> </w:t>
      </w:r>
      <w:r w:rsidR="006521C4">
        <w:t>line</w:t>
      </w:r>
      <w:r w:rsidR="006521C4">
        <w:rPr>
          <w:spacing w:val="-15"/>
        </w:rPr>
        <w:t xml:space="preserve"> </w:t>
      </w:r>
      <w:r w:rsidR="006521C4">
        <w:t>support.</w:t>
      </w:r>
    </w:p>
    <w:p w14:paraId="6D435051" w14:textId="13506A31" w:rsidR="007967DB" w:rsidRDefault="006521C4">
      <w:pPr>
        <w:pStyle w:val="BodyText"/>
        <w:spacing w:before="279"/>
        <w:ind w:right="113" w:hanging="1"/>
      </w:pPr>
      <w:r>
        <w:t>For defects</w:t>
      </w:r>
      <w:r w:rsidR="00881548">
        <w:t>,</w:t>
      </w:r>
      <w:r>
        <w:t xml:space="preserve"> an incident is </w:t>
      </w:r>
      <w:r w:rsidR="00E40223">
        <w:t>raised</w:t>
      </w:r>
      <w:r w:rsidR="00A2235D">
        <w:t>,</w:t>
      </w:r>
      <w:r>
        <w:t xml:space="preserve"> and a priority (1,2</w:t>
      </w:r>
      <w:r w:rsidR="00886AC0">
        <w:t xml:space="preserve"> or </w:t>
      </w:r>
      <w:r>
        <w:t>3) is assigned. Change requests are assigned priority 3 by default.</w:t>
      </w:r>
    </w:p>
    <w:p w14:paraId="577BF4DB" w14:textId="635B0693" w:rsidR="00096B05" w:rsidRDefault="006B4644" w:rsidP="0068302D">
      <w:pPr>
        <w:pStyle w:val="BodyText"/>
        <w:spacing w:before="282"/>
        <w:ind w:right="113" w:hanging="1"/>
      </w:pPr>
      <w:r>
        <w:t xml:space="preserve">The </w:t>
      </w:r>
      <w:r w:rsidR="006521C4">
        <w:t xml:space="preserve">following response time objectives </w:t>
      </w:r>
      <w:r>
        <w:t xml:space="preserve">apply for all </w:t>
      </w:r>
      <w:proofErr w:type="spellStart"/>
      <w:r>
        <w:t>Kognifai</w:t>
      </w:r>
      <w:proofErr w:type="spellEnd"/>
      <w:r>
        <w:t xml:space="preserve"> Services</w:t>
      </w:r>
      <w:r w:rsidR="00C21B4F">
        <w:t>,</w:t>
      </w:r>
      <w:r w:rsidR="006521C4">
        <w:t xml:space="preserve"> based on incident priority:</w:t>
      </w:r>
    </w:p>
    <w:p w14:paraId="6D435054" w14:textId="77777777" w:rsidR="007967DB" w:rsidRDefault="007967DB">
      <w:pPr>
        <w:pStyle w:val="BodyText"/>
        <w:spacing w:before="7"/>
        <w:ind w:left="0"/>
        <w:jc w:val="left"/>
        <w:rPr>
          <w:sz w:val="23"/>
        </w:rPr>
      </w:pPr>
      <w:bookmarkStart w:id="3" w:name="Support_and_Response"/>
      <w:bookmarkEnd w:id="3"/>
    </w:p>
    <w:tbl>
      <w:tblPr>
        <w:tblW w:w="0" w:type="auto"/>
        <w:tblInd w:w="485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4512"/>
        <w:gridCol w:w="3372"/>
      </w:tblGrid>
      <w:tr w:rsidR="007967DB" w14:paraId="6D43505B" w14:textId="77777777" w:rsidTr="4D0F5E03">
        <w:trPr>
          <w:trHeight w:val="685"/>
        </w:trPr>
        <w:tc>
          <w:tcPr>
            <w:tcW w:w="1178" w:type="dxa"/>
          </w:tcPr>
          <w:p w14:paraId="6D435055" w14:textId="77777777" w:rsidR="007967DB" w:rsidRDefault="007967DB" w:rsidP="4D0F5E03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6D435056" w14:textId="77777777" w:rsidR="007967DB" w:rsidRDefault="006521C4">
            <w:pPr>
              <w:pStyle w:val="TableParagraph"/>
              <w:ind w:left="204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</w:tc>
        <w:tc>
          <w:tcPr>
            <w:tcW w:w="4512" w:type="dxa"/>
          </w:tcPr>
          <w:p w14:paraId="6D435057" w14:textId="77777777" w:rsidR="007967DB" w:rsidRDefault="007967DB">
            <w:pPr>
              <w:pStyle w:val="TableParagraph"/>
              <w:spacing w:before="2"/>
              <w:rPr>
                <w:sz w:val="19"/>
              </w:rPr>
            </w:pPr>
          </w:p>
          <w:p w14:paraId="6D435058" w14:textId="77777777" w:rsidR="007967DB" w:rsidRDefault="006521C4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Definition</w:t>
            </w:r>
          </w:p>
        </w:tc>
        <w:tc>
          <w:tcPr>
            <w:tcW w:w="3372" w:type="dxa"/>
          </w:tcPr>
          <w:p w14:paraId="6D435059" w14:textId="77777777" w:rsidR="007967DB" w:rsidRDefault="007967DB">
            <w:pPr>
              <w:pStyle w:val="TableParagraph"/>
              <w:spacing w:before="2"/>
              <w:rPr>
                <w:sz w:val="19"/>
              </w:rPr>
            </w:pPr>
          </w:p>
          <w:p w14:paraId="6D43505A" w14:textId="4E63FC63" w:rsidR="007967DB" w:rsidRDefault="006521C4" w:rsidP="4D0F5E03">
            <w:pPr>
              <w:pStyle w:val="TableParagraph"/>
              <w:ind w:left="228"/>
              <w:rPr>
                <w:b/>
                <w:bCs/>
                <w:sz w:val="20"/>
                <w:szCs w:val="20"/>
              </w:rPr>
            </w:pPr>
            <w:r w:rsidRPr="4D0F5E03">
              <w:rPr>
                <w:b/>
                <w:bCs/>
                <w:sz w:val="20"/>
                <w:szCs w:val="20"/>
              </w:rPr>
              <w:t>Response</w:t>
            </w:r>
            <w:r w:rsidR="00C21B4F" w:rsidRPr="4D0F5E03">
              <w:rPr>
                <w:b/>
                <w:bCs/>
                <w:sz w:val="20"/>
                <w:szCs w:val="20"/>
              </w:rPr>
              <w:t xml:space="preserve"> Time*</w:t>
            </w:r>
          </w:p>
        </w:tc>
      </w:tr>
      <w:tr w:rsidR="007967DB" w14:paraId="6D43506A" w14:textId="77777777" w:rsidTr="4D0F5E03">
        <w:trPr>
          <w:trHeight w:val="1878"/>
        </w:trPr>
        <w:tc>
          <w:tcPr>
            <w:tcW w:w="1178" w:type="dxa"/>
          </w:tcPr>
          <w:p w14:paraId="6D43505C" w14:textId="77777777" w:rsidR="007967DB" w:rsidRDefault="007967DB" w:rsidP="005071C3">
            <w:pPr>
              <w:pStyle w:val="TableParagraph"/>
              <w:jc w:val="center"/>
            </w:pPr>
          </w:p>
          <w:p w14:paraId="6D43505D" w14:textId="77777777" w:rsidR="007967DB" w:rsidRDefault="007967DB" w:rsidP="005071C3">
            <w:pPr>
              <w:pStyle w:val="TableParagraph"/>
              <w:jc w:val="center"/>
            </w:pPr>
          </w:p>
          <w:p w14:paraId="6D43505E" w14:textId="77777777" w:rsidR="007967DB" w:rsidRDefault="007967DB" w:rsidP="005071C3">
            <w:pPr>
              <w:pStyle w:val="TableParagraph"/>
              <w:jc w:val="center"/>
            </w:pPr>
          </w:p>
          <w:p w14:paraId="6D435061" w14:textId="77777777" w:rsidR="007967DB" w:rsidRDefault="006521C4" w:rsidP="005071C3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2" w:type="dxa"/>
          </w:tcPr>
          <w:p w14:paraId="6D435062" w14:textId="77777777" w:rsidR="007967DB" w:rsidRDefault="007967DB">
            <w:pPr>
              <w:pStyle w:val="TableParagraph"/>
              <w:spacing w:before="11"/>
              <w:rPr>
                <w:sz w:val="18"/>
              </w:rPr>
            </w:pPr>
          </w:p>
          <w:p w14:paraId="6D435063" w14:textId="06053C0A" w:rsidR="007967DB" w:rsidRDefault="006521C4">
            <w:pPr>
              <w:pStyle w:val="TableParagraph"/>
              <w:ind w:left="225" w:right="307"/>
              <w:rPr>
                <w:sz w:val="20"/>
              </w:rPr>
            </w:pPr>
            <w:r>
              <w:rPr>
                <w:sz w:val="20"/>
              </w:rPr>
              <w:t>Issue meets at least one of the following</w:t>
            </w:r>
            <w:r w:rsidR="00F13FD4">
              <w:rPr>
                <w:sz w:val="20"/>
              </w:rPr>
              <w:t xml:space="preserve"> </w:t>
            </w:r>
            <w:r>
              <w:rPr>
                <w:sz w:val="20"/>
              </w:rPr>
              <w:t>criteria:</w:t>
            </w:r>
          </w:p>
          <w:p w14:paraId="6D435064" w14:textId="77777777" w:rsidR="007967DB" w:rsidRDefault="006521C4">
            <w:pPr>
              <w:pStyle w:val="TableParagraph"/>
              <w:numPr>
                <w:ilvl w:val="0"/>
                <w:numId w:val="4"/>
              </w:numPr>
              <w:tabs>
                <w:tab w:val="left" w:pos="945"/>
                <w:tab w:val="left" w:pos="946"/>
              </w:tabs>
              <w:spacing w:before="3"/>
              <w:ind w:right="245"/>
              <w:rPr>
                <w:sz w:val="20"/>
              </w:rPr>
            </w:pPr>
            <w:r>
              <w:rPr>
                <w:sz w:val="20"/>
              </w:rPr>
              <w:t>Security is compromised 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potentially compromised</w:t>
            </w:r>
          </w:p>
          <w:p w14:paraId="6D435065" w14:textId="77777777" w:rsidR="007967DB" w:rsidRDefault="006521C4">
            <w:pPr>
              <w:pStyle w:val="TableParagraph"/>
              <w:spacing w:line="234" w:lineRule="exact"/>
              <w:ind w:right="1480"/>
              <w:jc w:val="right"/>
              <w:rPr>
                <w:sz w:val="20"/>
              </w:rPr>
            </w:pPr>
            <w:r>
              <w:rPr>
                <w:sz w:val="20"/>
              </w:rPr>
              <w:t>And meets the following criteria:</w:t>
            </w:r>
          </w:p>
          <w:p w14:paraId="6D435066" w14:textId="77777777" w:rsidR="007967DB" w:rsidRDefault="006521C4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360"/>
              </w:tabs>
              <w:spacing w:before="1"/>
              <w:ind w:right="1389" w:hanging="946"/>
              <w:jc w:val="right"/>
              <w:rPr>
                <w:sz w:val="20"/>
              </w:rPr>
            </w:pPr>
            <w:r>
              <w:rPr>
                <w:sz w:val="20"/>
              </w:rPr>
              <w:t>No workaround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  <w:tc>
          <w:tcPr>
            <w:tcW w:w="3372" w:type="dxa"/>
          </w:tcPr>
          <w:p w14:paraId="6D435067" w14:textId="77777777" w:rsidR="007967DB" w:rsidRDefault="007967DB">
            <w:pPr>
              <w:pStyle w:val="TableParagraph"/>
            </w:pPr>
          </w:p>
          <w:p w14:paraId="65DCD781" w14:textId="7F8A45E3" w:rsidR="00FC5F56" w:rsidRDefault="006521C4" w:rsidP="001153D4">
            <w:pPr>
              <w:pStyle w:val="TableParagraph"/>
              <w:ind w:left="228" w:right="519"/>
              <w:rPr>
                <w:sz w:val="20"/>
              </w:rPr>
            </w:pPr>
            <w:r>
              <w:rPr>
                <w:sz w:val="20"/>
              </w:rPr>
              <w:t xml:space="preserve">Within 1 hour during </w:t>
            </w:r>
            <w:r w:rsidR="00703D05">
              <w:rPr>
                <w:sz w:val="20"/>
              </w:rPr>
              <w:t>Normal B</w:t>
            </w:r>
            <w:r>
              <w:rPr>
                <w:sz w:val="20"/>
              </w:rPr>
              <w:t xml:space="preserve">usiness </w:t>
            </w:r>
            <w:r w:rsidR="00703D05">
              <w:rPr>
                <w:sz w:val="20"/>
              </w:rPr>
              <w:t>H</w:t>
            </w:r>
            <w:r>
              <w:rPr>
                <w:sz w:val="20"/>
              </w:rPr>
              <w:t>ours</w:t>
            </w:r>
            <w:r w:rsidR="00703D05">
              <w:rPr>
                <w:sz w:val="20"/>
              </w:rPr>
              <w:t>**</w:t>
            </w:r>
            <w:r>
              <w:rPr>
                <w:sz w:val="20"/>
              </w:rPr>
              <w:t xml:space="preserve">. </w:t>
            </w:r>
          </w:p>
          <w:p w14:paraId="6D435069" w14:textId="375D3713" w:rsidR="007967DB" w:rsidRDefault="006521C4">
            <w:pPr>
              <w:pStyle w:val="TableParagraph"/>
              <w:ind w:left="228" w:right="519"/>
              <w:rPr>
                <w:sz w:val="20"/>
              </w:rPr>
            </w:pPr>
            <w:r>
              <w:rPr>
                <w:sz w:val="20"/>
              </w:rPr>
              <w:t xml:space="preserve">Solutions will be made available to the </w:t>
            </w:r>
            <w:r w:rsidR="001153D4">
              <w:rPr>
                <w:sz w:val="20"/>
              </w:rPr>
              <w:t>C</w:t>
            </w:r>
            <w:r>
              <w:rPr>
                <w:sz w:val="20"/>
              </w:rPr>
              <w:t>ustomer by means of an emergency patch, configuration change.</w:t>
            </w:r>
          </w:p>
        </w:tc>
      </w:tr>
      <w:tr w:rsidR="007967DB" w14:paraId="6D435083" w14:textId="77777777" w:rsidTr="4D0F5E03">
        <w:trPr>
          <w:trHeight w:val="3095"/>
        </w:trPr>
        <w:tc>
          <w:tcPr>
            <w:tcW w:w="1178" w:type="dxa"/>
          </w:tcPr>
          <w:p w14:paraId="6D43506B" w14:textId="77777777" w:rsidR="007967DB" w:rsidRDefault="007967DB" w:rsidP="005071C3">
            <w:pPr>
              <w:pStyle w:val="TableParagraph"/>
              <w:jc w:val="center"/>
            </w:pPr>
          </w:p>
          <w:p w14:paraId="6D43506C" w14:textId="77777777" w:rsidR="007967DB" w:rsidRDefault="007967DB" w:rsidP="005071C3">
            <w:pPr>
              <w:pStyle w:val="TableParagraph"/>
              <w:jc w:val="center"/>
            </w:pPr>
          </w:p>
          <w:p w14:paraId="6D43506D" w14:textId="77777777" w:rsidR="007967DB" w:rsidRDefault="007967DB" w:rsidP="005071C3">
            <w:pPr>
              <w:pStyle w:val="TableParagraph"/>
              <w:jc w:val="center"/>
            </w:pPr>
          </w:p>
          <w:p w14:paraId="6D43506E" w14:textId="77777777" w:rsidR="007967DB" w:rsidRDefault="007967DB" w:rsidP="005071C3">
            <w:pPr>
              <w:pStyle w:val="TableParagraph"/>
              <w:jc w:val="center"/>
            </w:pPr>
          </w:p>
          <w:p w14:paraId="6D43506F" w14:textId="77777777" w:rsidR="007967DB" w:rsidRDefault="007967DB" w:rsidP="005071C3">
            <w:pPr>
              <w:pStyle w:val="TableParagraph"/>
              <w:jc w:val="center"/>
            </w:pPr>
          </w:p>
          <w:p w14:paraId="6D435075" w14:textId="77777777" w:rsidR="007967DB" w:rsidRDefault="006521C4" w:rsidP="005071C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2" w:type="dxa"/>
          </w:tcPr>
          <w:p w14:paraId="6D435076" w14:textId="77777777" w:rsidR="007967DB" w:rsidRDefault="007967DB">
            <w:pPr>
              <w:pStyle w:val="TableParagraph"/>
              <w:spacing w:before="2"/>
              <w:rPr>
                <w:sz w:val="19"/>
              </w:rPr>
            </w:pPr>
          </w:p>
          <w:p w14:paraId="6D435077" w14:textId="65637CEF" w:rsidR="007967DB" w:rsidRDefault="006521C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Issue meet</w:t>
            </w:r>
            <w:r w:rsidR="00030F68">
              <w:rPr>
                <w:sz w:val="20"/>
              </w:rPr>
              <w:t>s</w:t>
            </w:r>
            <w:r>
              <w:rPr>
                <w:sz w:val="20"/>
              </w:rPr>
              <w:t xml:space="preserve"> at least one of the following</w:t>
            </w:r>
            <w:r w:rsidR="00BC0784">
              <w:rPr>
                <w:sz w:val="20"/>
              </w:rPr>
              <w:t xml:space="preserve"> criteria</w:t>
            </w:r>
            <w:r>
              <w:rPr>
                <w:sz w:val="20"/>
              </w:rPr>
              <w:t>:</w:t>
            </w:r>
          </w:p>
          <w:p w14:paraId="6D435078" w14:textId="77777777" w:rsidR="007967DB" w:rsidRDefault="006521C4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before="2"/>
              <w:ind w:right="958"/>
              <w:rPr>
                <w:sz w:val="20"/>
              </w:rPr>
            </w:pPr>
            <w:r>
              <w:rPr>
                <w:sz w:val="20"/>
              </w:rPr>
              <w:t xml:space="preserve">Unavailability of </w:t>
            </w:r>
            <w:proofErr w:type="spellStart"/>
            <w:r>
              <w:rPr>
                <w:sz w:val="20"/>
              </w:rPr>
              <w:t>Kognifai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Core Services</w:t>
            </w:r>
          </w:p>
          <w:p w14:paraId="6D435079" w14:textId="77777777" w:rsidR="007967DB" w:rsidRDefault="006521C4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Unavailability of Vessel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Insight</w:t>
            </w:r>
          </w:p>
          <w:p w14:paraId="6D43507A" w14:textId="77777777" w:rsidR="007967DB" w:rsidRDefault="006521C4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Unavailability of API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6D43507B" w14:textId="77777777" w:rsidR="007967DB" w:rsidRDefault="006521C4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Functionality not working 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</w:p>
          <w:p w14:paraId="6D43507C" w14:textId="4E84FEE3" w:rsidR="007967DB" w:rsidRDefault="00030F68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Degradation</w:t>
            </w:r>
            <w:r w:rsidR="006521C4">
              <w:rPr>
                <w:sz w:val="20"/>
              </w:rPr>
              <w:t xml:space="preserve"> in performance,</w:t>
            </w:r>
            <w:r w:rsidR="006521C4">
              <w:rPr>
                <w:spacing w:val="-16"/>
                <w:sz w:val="20"/>
              </w:rPr>
              <w:t xml:space="preserve"> </w:t>
            </w:r>
            <w:r w:rsidR="006521C4">
              <w:rPr>
                <w:sz w:val="20"/>
              </w:rPr>
              <w:t>service response</w:t>
            </w:r>
            <w:r w:rsidR="006521C4">
              <w:rPr>
                <w:spacing w:val="-1"/>
                <w:sz w:val="20"/>
              </w:rPr>
              <w:t xml:space="preserve"> </w:t>
            </w:r>
            <w:r w:rsidR="006521C4">
              <w:rPr>
                <w:sz w:val="20"/>
              </w:rPr>
              <w:t>times</w:t>
            </w:r>
          </w:p>
          <w:p w14:paraId="6D43507D" w14:textId="7590873D" w:rsidR="007967DB" w:rsidRDefault="00E12D74">
            <w:pPr>
              <w:pStyle w:val="TableParagraph"/>
              <w:numPr>
                <w:ilvl w:val="0"/>
                <w:numId w:val="3"/>
              </w:numPr>
              <w:tabs>
                <w:tab w:val="left" w:pos="945"/>
                <w:tab w:val="left" w:pos="946"/>
              </w:tabs>
              <w:ind w:right="561"/>
              <w:rPr>
                <w:sz w:val="20"/>
              </w:rPr>
            </w:pPr>
            <w:r>
              <w:rPr>
                <w:sz w:val="20"/>
              </w:rPr>
              <w:t>N</w:t>
            </w:r>
            <w:r w:rsidR="006521C4">
              <w:rPr>
                <w:sz w:val="20"/>
              </w:rPr>
              <w:t>egative impact on</w:t>
            </w:r>
            <w:r w:rsidR="006521C4">
              <w:rPr>
                <w:spacing w:val="-18"/>
                <w:sz w:val="20"/>
              </w:rPr>
              <w:t xml:space="preserve"> </w:t>
            </w:r>
            <w:r w:rsidR="006521C4">
              <w:rPr>
                <w:sz w:val="20"/>
              </w:rPr>
              <w:t>decision making based on information presented</w:t>
            </w:r>
          </w:p>
        </w:tc>
        <w:tc>
          <w:tcPr>
            <w:tcW w:w="3372" w:type="dxa"/>
          </w:tcPr>
          <w:p w14:paraId="46F43F6A" w14:textId="77777777" w:rsidR="00E12D74" w:rsidRDefault="00E12D74" w:rsidP="00E12D74">
            <w:pPr>
              <w:pStyle w:val="TableParagraph"/>
              <w:ind w:left="228" w:right="519"/>
              <w:rPr>
                <w:sz w:val="20"/>
              </w:rPr>
            </w:pPr>
          </w:p>
          <w:p w14:paraId="6D435082" w14:textId="57F65AE6" w:rsidR="007967DB" w:rsidRDefault="006521C4" w:rsidP="00E12D74">
            <w:pPr>
              <w:pStyle w:val="TableParagraph"/>
              <w:ind w:left="228" w:right="519"/>
              <w:rPr>
                <w:sz w:val="20"/>
              </w:rPr>
            </w:pPr>
            <w:r>
              <w:rPr>
                <w:sz w:val="20"/>
              </w:rPr>
              <w:t xml:space="preserve">Within 1 </w:t>
            </w:r>
            <w:r w:rsidR="0002033B">
              <w:rPr>
                <w:sz w:val="20"/>
              </w:rPr>
              <w:t>B</w:t>
            </w:r>
            <w:r>
              <w:rPr>
                <w:sz w:val="20"/>
              </w:rPr>
              <w:t xml:space="preserve">usiness </w:t>
            </w:r>
            <w:r w:rsidR="0002033B">
              <w:rPr>
                <w:sz w:val="20"/>
              </w:rPr>
              <w:t>D</w:t>
            </w:r>
            <w:r>
              <w:rPr>
                <w:sz w:val="20"/>
              </w:rPr>
              <w:t>ay</w:t>
            </w:r>
            <w:r w:rsidR="00F5204D">
              <w:rPr>
                <w:sz w:val="20"/>
              </w:rPr>
              <w:t>***</w:t>
            </w:r>
            <w:r>
              <w:rPr>
                <w:sz w:val="20"/>
              </w:rPr>
              <w:t xml:space="preserve"> during </w:t>
            </w:r>
            <w:r w:rsidR="00BC0784">
              <w:rPr>
                <w:sz w:val="20"/>
              </w:rPr>
              <w:t>Normal B</w:t>
            </w:r>
            <w:r>
              <w:rPr>
                <w:sz w:val="20"/>
              </w:rPr>
              <w:t xml:space="preserve">usiness </w:t>
            </w:r>
            <w:r w:rsidR="00BC0784">
              <w:rPr>
                <w:sz w:val="20"/>
              </w:rPr>
              <w:t>H</w:t>
            </w:r>
            <w:r>
              <w:rPr>
                <w:sz w:val="20"/>
              </w:rPr>
              <w:t>ours. Defects reported will be resolved as part of a planned release or a service release executed within the maintenance windows according to roadmap provided.</w:t>
            </w:r>
          </w:p>
        </w:tc>
      </w:tr>
      <w:tr w:rsidR="005071C3" w14:paraId="58BCB32B" w14:textId="77777777" w:rsidTr="00E12D74">
        <w:trPr>
          <w:trHeight w:val="2082"/>
        </w:trPr>
        <w:tc>
          <w:tcPr>
            <w:tcW w:w="1178" w:type="dxa"/>
          </w:tcPr>
          <w:p w14:paraId="62C48280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57056032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64599059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3432DD4C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78E49201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7CA592CB" w14:textId="77777777" w:rsidR="005071C3" w:rsidRDefault="005071C3" w:rsidP="005071C3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14:paraId="7451A3DA" w14:textId="13251B81" w:rsidR="005071C3" w:rsidRDefault="005071C3" w:rsidP="005071C3">
            <w:pPr>
              <w:pStyle w:val="TableParagraph"/>
              <w:jc w:val="center"/>
            </w:pPr>
            <w:r w:rsidRPr="009A3497">
              <w:rPr>
                <w:w w:val="99"/>
                <w:sz w:val="20"/>
              </w:rPr>
              <w:t>3</w:t>
            </w:r>
          </w:p>
        </w:tc>
        <w:tc>
          <w:tcPr>
            <w:tcW w:w="4512" w:type="dxa"/>
          </w:tcPr>
          <w:p w14:paraId="5B388E34" w14:textId="77777777" w:rsidR="005071C3" w:rsidRDefault="005071C3" w:rsidP="005071C3">
            <w:pPr>
              <w:pStyle w:val="TableParagraph"/>
              <w:spacing w:before="11"/>
              <w:rPr>
                <w:sz w:val="18"/>
              </w:rPr>
            </w:pPr>
          </w:p>
          <w:p w14:paraId="23B43BC8" w14:textId="6920817C" w:rsidR="005071C3" w:rsidRDefault="005071C3" w:rsidP="005071C3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Issue</w:t>
            </w:r>
            <w:r w:rsidR="00D70401">
              <w:rPr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 w:rsidR="00D70401">
              <w:rPr>
                <w:sz w:val="20"/>
              </w:rPr>
              <w:t>s</w:t>
            </w:r>
            <w:r>
              <w:rPr>
                <w:sz w:val="20"/>
              </w:rPr>
              <w:t xml:space="preserve"> in </w:t>
            </w:r>
            <w:r w:rsidR="002A60C9">
              <w:rPr>
                <w:sz w:val="20"/>
              </w:rPr>
              <w:t xml:space="preserve">one of </w:t>
            </w:r>
            <w:r>
              <w:rPr>
                <w:sz w:val="20"/>
              </w:rPr>
              <w:t>the following categor</w:t>
            </w:r>
            <w:r w:rsidR="002A60C9">
              <w:rPr>
                <w:sz w:val="20"/>
              </w:rPr>
              <w:t>ies</w:t>
            </w:r>
            <w:r>
              <w:rPr>
                <w:sz w:val="20"/>
              </w:rPr>
              <w:t>:</w:t>
            </w:r>
          </w:p>
          <w:p w14:paraId="29B17D38" w14:textId="77777777" w:rsidR="00B424AC" w:rsidRDefault="00B424AC" w:rsidP="005071C3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before="2"/>
              <w:ind w:right="1098"/>
              <w:rPr>
                <w:sz w:val="20"/>
              </w:rPr>
            </w:pPr>
            <w:r w:rsidRPr="00D70401">
              <w:rPr>
                <w:sz w:val="20"/>
              </w:rPr>
              <w:t>Data formatting or</w:t>
            </w:r>
            <w:r w:rsidRPr="00D70401">
              <w:rPr>
                <w:spacing w:val="-17"/>
                <w:sz w:val="20"/>
              </w:rPr>
              <w:t xml:space="preserve"> </w:t>
            </w:r>
            <w:r w:rsidRPr="00D70401">
              <w:rPr>
                <w:sz w:val="20"/>
              </w:rPr>
              <w:t>representation issues</w:t>
            </w:r>
          </w:p>
          <w:p w14:paraId="6233922E" w14:textId="77777777" w:rsidR="00B424AC" w:rsidRDefault="00B424AC" w:rsidP="005071C3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before="2"/>
              <w:ind w:right="1098"/>
              <w:rPr>
                <w:sz w:val="20"/>
              </w:rPr>
            </w:pPr>
            <w:r>
              <w:rPr>
                <w:sz w:val="20"/>
              </w:rPr>
              <w:t>Requests for changes 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existing functionality</w:t>
            </w:r>
          </w:p>
          <w:p w14:paraId="546627CB" w14:textId="659D64DE" w:rsidR="005071C3" w:rsidRDefault="005071C3" w:rsidP="005071C3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before="2"/>
              <w:ind w:right="1098"/>
              <w:rPr>
                <w:sz w:val="20"/>
              </w:rPr>
            </w:pPr>
            <w:r>
              <w:rPr>
                <w:sz w:val="20"/>
              </w:rPr>
              <w:t>Requests for new features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 functionality</w:t>
            </w:r>
          </w:p>
          <w:p w14:paraId="7B07DA14" w14:textId="6B641B4C" w:rsidR="005071C3" w:rsidRPr="00B424AC" w:rsidRDefault="005071C3" w:rsidP="00B424AC">
            <w:pPr>
              <w:pStyle w:val="TableParagraph"/>
              <w:tabs>
                <w:tab w:val="left" w:pos="945"/>
                <w:tab w:val="left" w:pos="946"/>
              </w:tabs>
              <w:ind w:left="945" w:right="818"/>
              <w:rPr>
                <w:sz w:val="20"/>
              </w:rPr>
            </w:pPr>
          </w:p>
        </w:tc>
        <w:tc>
          <w:tcPr>
            <w:tcW w:w="3372" w:type="dxa"/>
          </w:tcPr>
          <w:p w14:paraId="63C545AE" w14:textId="77777777" w:rsidR="005071C3" w:rsidRDefault="005071C3" w:rsidP="005071C3">
            <w:pPr>
              <w:pStyle w:val="TableParagraph"/>
            </w:pPr>
          </w:p>
          <w:p w14:paraId="77462314" w14:textId="1E480E2C" w:rsidR="005071C3" w:rsidRDefault="005071C3" w:rsidP="00E12D74">
            <w:pPr>
              <w:pStyle w:val="TableParagraph"/>
              <w:ind w:left="228" w:right="519"/>
            </w:pPr>
            <w:r>
              <w:rPr>
                <w:sz w:val="20"/>
              </w:rPr>
              <w:t>Issues reported will be considered and if prioritized</w:t>
            </w:r>
            <w:r w:rsidR="00E62E4B">
              <w:rPr>
                <w:sz w:val="20"/>
              </w:rPr>
              <w:t>,</w:t>
            </w:r>
            <w:r>
              <w:rPr>
                <w:sz w:val="20"/>
              </w:rPr>
              <w:t xml:space="preserve"> planned for release.</w:t>
            </w:r>
          </w:p>
        </w:tc>
      </w:tr>
    </w:tbl>
    <w:p w14:paraId="599FF6D9" w14:textId="77777777" w:rsidR="007967DB" w:rsidRDefault="007967DB">
      <w:pPr>
        <w:rPr>
          <w:sz w:val="20"/>
        </w:rPr>
      </w:pPr>
    </w:p>
    <w:p w14:paraId="153C5D60" w14:textId="24FCC5C6" w:rsidR="003102C5" w:rsidRPr="00032654" w:rsidRDefault="003102C5" w:rsidP="00E12D74">
      <w:pPr>
        <w:pStyle w:val="BodyText"/>
        <w:rPr>
          <w:sz w:val="20"/>
        </w:rPr>
      </w:pPr>
      <w:r>
        <w:rPr>
          <w:sz w:val="20"/>
        </w:rPr>
        <w:t>*</w:t>
      </w:r>
      <w:r w:rsidRPr="00032654">
        <w:rPr>
          <w:sz w:val="20"/>
        </w:rPr>
        <w:t xml:space="preserve"> Response </w:t>
      </w:r>
      <w:r w:rsidR="00096B05">
        <w:rPr>
          <w:sz w:val="20"/>
        </w:rPr>
        <w:t>T</w:t>
      </w:r>
      <w:r w:rsidRPr="00032654">
        <w:rPr>
          <w:sz w:val="20"/>
        </w:rPr>
        <w:t>ime is the time lapsed from K</w:t>
      </w:r>
      <w:r>
        <w:rPr>
          <w:sz w:val="20"/>
        </w:rPr>
        <w:t>ongsberg Support</w:t>
      </w:r>
      <w:r w:rsidRPr="00032654">
        <w:rPr>
          <w:sz w:val="20"/>
        </w:rPr>
        <w:t xml:space="preserve">’s registration of a defect until initial feedback is provided to the Customer. Initial feedback will include confirmation of the </w:t>
      </w:r>
      <w:proofErr w:type="gramStart"/>
      <w:r>
        <w:rPr>
          <w:sz w:val="20"/>
        </w:rPr>
        <w:t>incident priority</w:t>
      </w:r>
      <w:proofErr w:type="gramEnd"/>
      <w:r w:rsidRPr="00032654">
        <w:rPr>
          <w:sz w:val="20"/>
        </w:rPr>
        <w:t>, and could also include fixes or workarounds, and the estimated time to fix the defect.</w:t>
      </w:r>
    </w:p>
    <w:p w14:paraId="47D6D90E" w14:textId="334E622A" w:rsidR="003102C5" w:rsidRDefault="003102C5" w:rsidP="00E12D74">
      <w:pPr>
        <w:pStyle w:val="BodyText"/>
        <w:rPr>
          <w:sz w:val="20"/>
        </w:rPr>
      </w:pPr>
      <w:r w:rsidRPr="00032654">
        <w:rPr>
          <w:sz w:val="20"/>
        </w:rPr>
        <w:t>** Normal Business Hours are between 09:00 – 17:00 (CET</w:t>
      </w:r>
      <w:r w:rsidR="00E62E4B">
        <w:rPr>
          <w:sz w:val="20"/>
        </w:rPr>
        <w:t>/CEST</w:t>
      </w:r>
      <w:r w:rsidRPr="00032654">
        <w:rPr>
          <w:sz w:val="20"/>
        </w:rPr>
        <w:t xml:space="preserve">) Monday-Friday, excluding public holidays in Norway. </w:t>
      </w:r>
    </w:p>
    <w:p w14:paraId="1851DC3C" w14:textId="49E96232" w:rsidR="003102C5" w:rsidRDefault="003102C5" w:rsidP="00E12D74">
      <w:pPr>
        <w:pStyle w:val="BodyText"/>
        <w:rPr>
          <w:sz w:val="20"/>
        </w:rPr>
      </w:pPr>
      <w:r>
        <w:rPr>
          <w:sz w:val="20"/>
        </w:rPr>
        <w:t>*** Business</w:t>
      </w:r>
      <w:r w:rsidR="00F5204D">
        <w:rPr>
          <w:sz w:val="20"/>
        </w:rPr>
        <w:t xml:space="preserve"> D</w:t>
      </w:r>
      <w:r>
        <w:rPr>
          <w:sz w:val="20"/>
        </w:rPr>
        <w:t>ay means Monday to Friday,</w:t>
      </w:r>
      <w:r w:rsidRPr="00D407D5">
        <w:t xml:space="preserve"> </w:t>
      </w:r>
      <w:r w:rsidRPr="00D407D5">
        <w:rPr>
          <w:sz w:val="20"/>
        </w:rPr>
        <w:t xml:space="preserve">excluding public holidays in Norway. </w:t>
      </w:r>
    </w:p>
    <w:p w14:paraId="3BDC7557" w14:textId="177A9DBA" w:rsidR="003102C5" w:rsidRDefault="003102C5" w:rsidP="003102C5">
      <w:pPr>
        <w:tabs>
          <w:tab w:val="left" w:pos="3290"/>
        </w:tabs>
        <w:rPr>
          <w:sz w:val="20"/>
        </w:rPr>
      </w:pPr>
    </w:p>
    <w:p w14:paraId="6D435099" w14:textId="77777777" w:rsidR="007967DB" w:rsidRDefault="007967DB">
      <w:pPr>
        <w:pStyle w:val="BodyText"/>
        <w:spacing w:before="1"/>
        <w:ind w:left="0"/>
        <w:jc w:val="left"/>
        <w:rPr>
          <w:sz w:val="23"/>
        </w:rPr>
      </w:pPr>
    </w:p>
    <w:p w14:paraId="40A415F3" w14:textId="58C73E17" w:rsidR="00680BD4" w:rsidRDefault="00680BD4" w:rsidP="00E61A63">
      <w:pPr>
        <w:pStyle w:val="Heading1"/>
        <w:numPr>
          <w:ilvl w:val="0"/>
          <w:numId w:val="6"/>
        </w:numPr>
        <w:spacing w:before="282"/>
      </w:pPr>
      <w:bookmarkStart w:id="4" w:name="HARDWARE"/>
      <w:bookmarkEnd w:id="4"/>
      <w:r>
        <w:t>WARRANTY</w:t>
      </w:r>
    </w:p>
    <w:p w14:paraId="64ED5EAF" w14:textId="583CC8D9" w:rsidR="00ED3836" w:rsidRPr="00ED3836" w:rsidRDefault="0093596E" w:rsidP="00ED3836">
      <w:pPr>
        <w:ind w:left="476"/>
        <w:jc w:val="both"/>
        <w:rPr>
          <w:sz w:val="27"/>
          <w:szCs w:val="27"/>
        </w:rPr>
      </w:pPr>
      <w:r w:rsidRPr="4D0F5E03">
        <w:rPr>
          <w:sz w:val="27"/>
          <w:szCs w:val="27"/>
        </w:rPr>
        <w:t>K</w:t>
      </w:r>
      <w:r w:rsidR="00B918EF" w:rsidRPr="4D0F5E03">
        <w:rPr>
          <w:sz w:val="27"/>
          <w:szCs w:val="27"/>
        </w:rPr>
        <w:t>ongsberg</w:t>
      </w:r>
      <w:r w:rsidRPr="4D0F5E03">
        <w:rPr>
          <w:sz w:val="27"/>
          <w:szCs w:val="27"/>
        </w:rPr>
        <w:t xml:space="preserve"> warrants that </w:t>
      </w:r>
      <w:proofErr w:type="spellStart"/>
      <w:r w:rsidR="00FF25F3" w:rsidRPr="4D0F5E03">
        <w:rPr>
          <w:sz w:val="27"/>
          <w:szCs w:val="27"/>
        </w:rPr>
        <w:t>Kognifai</w:t>
      </w:r>
      <w:proofErr w:type="spellEnd"/>
      <w:r w:rsidR="00566EE3" w:rsidRPr="4D0F5E03">
        <w:rPr>
          <w:sz w:val="27"/>
          <w:szCs w:val="27"/>
        </w:rPr>
        <w:t xml:space="preserve"> Services</w:t>
      </w:r>
      <w:r w:rsidRPr="4D0F5E03">
        <w:rPr>
          <w:sz w:val="27"/>
          <w:szCs w:val="27"/>
        </w:rPr>
        <w:t xml:space="preserve"> </w:t>
      </w:r>
      <w:r w:rsidR="00993A47" w:rsidRPr="4D0F5E03">
        <w:rPr>
          <w:sz w:val="27"/>
          <w:szCs w:val="27"/>
        </w:rPr>
        <w:t>will</w:t>
      </w:r>
      <w:r w:rsidRPr="4D0F5E03">
        <w:rPr>
          <w:sz w:val="27"/>
          <w:szCs w:val="27"/>
        </w:rPr>
        <w:t xml:space="preserve"> be available in accordance with the service level objectives above.</w:t>
      </w:r>
      <w:r>
        <w:t xml:space="preserve"> </w:t>
      </w:r>
      <w:r w:rsidR="00ED3836">
        <w:t xml:space="preserve"> </w:t>
      </w:r>
      <w:r w:rsidR="00ED3836" w:rsidRPr="4D0F5E03">
        <w:rPr>
          <w:sz w:val="27"/>
          <w:szCs w:val="27"/>
        </w:rPr>
        <w:t xml:space="preserve">This warranty </w:t>
      </w:r>
      <w:r w:rsidR="00B17D27">
        <w:rPr>
          <w:sz w:val="27"/>
          <w:szCs w:val="27"/>
        </w:rPr>
        <w:t xml:space="preserve">is not applicable to </w:t>
      </w:r>
      <w:r w:rsidR="00ED3836" w:rsidRPr="4D0F5E03">
        <w:rPr>
          <w:sz w:val="27"/>
          <w:szCs w:val="27"/>
        </w:rPr>
        <w:t>service unavailability caused by scheduled or unscheduled system maintenance</w:t>
      </w:r>
      <w:r w:rsidR="006E79C9">
        <w:rPr>
          <w:sz w:val="27"/>
          <w:szCs w:val="27"/>
        </w:rPr>
        <w:t>, Kongsberg Hardware</w:t>
      </w:r>
      <w:r w:rsidR="00ED3836" w:rsidRPr="4D0F5E03">
        <w:rPr>
          <w:sz w:val="27"/>
          <w:szCs w:val="27"/>
        </w:rPr>
        <w:t xml:space="preserve"> or factors beyond Kongsberg’s control, including but not limited to:</w:t>
      </w:r>
    </w:p>
    <w:p w14:paraId="31CFDD2E" w14:textId="01565764" w:rsidR="0093596E" w:rsidRDefault="0093596E" w:rsidP="00781B17">
      <w:pPr>
        <w:pStyle w:val="BodyText"/>
        <w:numPr>
          <w:ilvl w:val="0"/>
          <w:numId w:val="1"/>
        </w:numPr>
        <w:spacing w:before="280"/>
        <w:ind w:right="113"/>
      </w:pPr>
      <w:r>
        <w:t xml:space="preserve">Interfaces provided by </w:t>
      </w:r>
      <w:r w:rsidR="007A36B6">
        <w:t>third parties</w:t>
      </w:r>
      <w:r>
        <w:t>.</w:t>
      </w:r>
    </w:p>
    <w:p w14:paraId="0E64FDF6" w14:textId="3DA2EB9F" w:rsidR="0093596E" w:rsidRDefault="0093596E" w:rsidP="0093596E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right="113"/>
        <w:jc w:val="both"/>
        <w:rPr>
          <w:sz w:val="27"/>
          <w:szCs w:val="27"/>
        </w:rPr>
      </w:pPr>
      <w:r w:rsidRPr="766F7CB3">
        <w:rPr>
          <w:sz w:val="27"/>
          <w:szCs w:val="27"/>
        </w:rPr>
        <w:t>Performance level, speed or reliability of the Internet connection by which the Customer and Authorized Users are accessing the server.</w:t>
      </w:r>
    </w:p>
    <w:p w14:paraId="2384C781" w14:textId="77777777" w:rsidR="004F68D4" w:rsidRDefault="004F68D4" w:rsidP="004F68D4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right="113"/>
        <w:jc w:val="both"/>
        <w:rPr>
          <w:sz w:val="27"/>
          <w:szCs w:val="27"/>
        </w:rPr>
      </w:pPr>
      <w:r w:rsidRPr="766F7CB3">
        <w:rPr>
          <w:sz w:val="27"/>
          <w:szCs w:val="27"/>
        </w:rPr>
        <w:t>Security, firewall/proxy servers and other network components required to access the Internet.</w:t>
      </w:r>
    </w:p>
    <w:p w14:paraId="536F8E73" w14:textId="144A35A8" w:rsidR="0093596E" w:rsidRDefault="0093596E" w:rsidP="00CA5512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jc w:val="both"/>
        <w:rPr>
          <w:sz w:val="27"/>
          <w:szCs w:val="27"/>
        </w:rPr>
      </w:pPr>
      <w:r w:rsidRPr="766F7CB3">
        <w:rPr>
          <w:sz w:val="27"/>
          <w:szCs w:val="27"/>
        </w:rPr>
        <w:t xml:space="preserve">Hardware, configuration and web browsers used by Authorized Users to access the </w:t>
      </w:r>
      <w:proofErr w:type="spellStart"/>
      <w:r w:rsidR="00725AAF">
        <w:rPr>
          <w:sz w:val="27"/>
          <w:szCs w:val="27"/>
        </w:rPr>
        <w:t>Kognifai</w:t>
      </w:r>
      <w:proofErr w:type="spellEnd"/>
      <w:r w:rsidR="00725AAF">
        <w:rPr>
          <w:sz w:val="27"/>
          <w:szCs w:val="27"/>
        </w:rPr>
        <w:t xml:space="preserve"> Services</w:t>
      </w:r>
      <w:r w:rsidRPr="766F7CB3">
        <w:rPr>
          <w:sz w:val="27"/>
          <w:szCs w:val="27"/>
        </w:rPr>
        <w:t>.</w:t>
      </w:r>
    </w:p>
    <w:p w14:paraId="3B1B6F67" w14:textId="77777777" w:rsidR="0093596E" w:rsidRDefault="0093596E" w:rsidP="00CA551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rPr>
          <w:sz w:val="27"/>
          <w:szCs w:val="27"/>
        </w:rPr>
      </w:pPr>
      <w:r w:rsidRPr="766F7CB3">
        <w:rPr>
          <w:sz w:val="27"/>
          <w:szCs w:val="27"/>
        </w:rPr>
        <w:t>Reliability and capacity of power supply.</w:t>
      </w:r>
    </w:p>
    <w:p w14:paraId="268D8495" w14:textId="77777777" w:rsidR="0093596E" w:rsidRDefault="0093596E" w:rsidP="00CA551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rPr>
          <w:sz w:val="27"/>
          <w:szCs w:val="27"/>
        </w:rPr>
      </w:pPr>
      <w:r w:rsidRPr="766F7CB3">
        <w:rPr>
          <w:sz w:val="27"/>
          <w:szCs w:val="27"/>
        </w:rPr>
        <w:t>Physical security controls.</w:t>
      </w:r>
    </w:p>
    <w:p w14:paraId="1E240A85" w14:textId="0BAD2A1C" w:rsidR="0093596E" w:rsidRDefault="0093596E" w:rsidP="00CA551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/>
        <w:rPr>
          <w:sz w:val="27"/>
          <w:szCs w:val="27"/>
        </w:rPr>
      </w:pPr>
      <w:r w:rsidRPr="4D0F5E03">
        <w:rPr>
          <w:sz w:val="27"/>
          <w:szCs w:val="27"/>
        </w:rPr>
        <w:t xml:space="preserve">Vessel </w:t>
      </w:r>
      <w:r w:rsidR="00953C01">
        <w:rPr>
          <w:sz w:val="27"/>
          <w:szCs w:val="27"/>
        </w:rPr>
        <w:t>M</w:t>
      </w:r>
      <w:r w:rsidRPr="4D0F5E03">
        <w:rPr>
          <w:sz w:val="27"/>
          <w:szCs w:val="27"/>
        </w:rPr>
        <w:t>aintenance</w:t>
      </w:r>
      <w:r w:rsidR="005356C6" w:rsidRPr="4D0F5E03">
        <w:rPr>
          <w:sz w:val="27"/>
          <w:szCs w:val="27"/>
        </w:rPr>
        <w:t>.</w:t>
      </w:r>
    </w:p>
    <w:p w14:paraId="67B4413E" w14:textId="77777777" w:rsidR="0093596E" w:rsidRDefault="0093596E" w:rsidP="0093596E">
      <w:pPr>
        <w:tabs>
          <w:tab w:val="left" w:pos="475"/>
          <w:tab w:val="left" w:pos="476"/>
        </w:tabs>
        <w:spacing w:before="1"/>
        <w:rPr>
          <w:sz w:val="27"/>
          <w:szCs w:val="27"/>
        </w:rPr>
      </w:pPr>
    </w:p>
    <w:p w14:paraId="0350D21D" w14:textId="503D6E92" w:rsidR="0093596E" w:rsidRPr="006A4D2D" w:rsidRDefault="0093596E" w:rsidP="006A4D2D">
      <w:pPr>
        <w:tabs>
          <w:tab w:val="left" w:pos="475"/>
          <w:tab w:val="left" w:pos="476"/>
        </w:tabs>
        <w:spacing w:before="1"/>
        <w:ind w:left="475"/>
        <w:jc w:val="both"/>
        <w:rPr>
          <w:sz w:val="27"/>
          <w:szCs w:val="27"/>
        </w:rPr>
      </w:pPr>
      <w:r w:rsidRPr="766F7CB3">
        <w:rPr>
          <w:sz w:val="27"/>
          <w:szCs w:val="27"/>
        </w:rPr>
        <w:t>K</w:t>
      </w:r>
      <w:r w:rsidR="005356C6">
        <w:rPr>
          <w:sz w:val="27"/>
          <w:szCs w:val="27"/>
        </w:rPr>
        <w:t>ongsberg</w:t>
      </w:r>
      <w:r w:rsidRPr="766F7CB3">
        <w:rPr>
          <w:sz w:val="27"/>
          <w:szCs w:val="27"/>
        </w:rPr>
        <w:t xml:space="preserve"> shall take commercially reasonable measures to ensure that no viruses, worms or other malicious computer programming codes intended to damage the Customer’s or its A</w:t>
      </w:r>
      <w:r w:rsidR="008258CD">
        <w:rPr>
          <w:sz w:val="27"/>
          <w:szCs w:val="27"/>
        </w:rPr>
        <w:t>ssociate</w:t>
      </w:r>
      <w:r w:rsidR="00F61662">
        <w:rPr>
          <w:sz w:val="27"/>
          <w:szCs w:val="27"/>
        </w:rPr>
        <w:t>s</w:t>
      </w:r>
      <w:r w:rsidRPr="766F7CB3">
        <w:rPr>
          <w:sz w:val="27"/>
          <w:szCs w:val="27"/>
        </w:rPr>
        <w:t xml:space="preserve">’ systems or data are introduced through </w:t>
      </w:r>
      <w:proofErr w:type="spellStart"/>
      <w:r w:rsidR="00FF25F3" w:rsidRPr="766F7CB3">
        <w:rPr>
          <w:sz w:val="27"/>
          <w:szCs w:val="27"/>
        </w:rPr>
        <w:t>Kognifai</w:t>
      </w:r>
      <w:proofErr w:type="spellEnd"/>
      <w:r w:rsidRPr="766F7CB3">
        <w:rPr>
          <w:sz w:val="27"/>
          <w:szCs w:val="27"/>
        </w:rPr>
        <w:t xml:space="preserve"> Services.</w:t>
      </w:r>
    </w:p>
    <w:p w14:paraId="6D43509A" w14:textId="5AE3D4CC" w:rsidR="007967DB" w:rsidRDefault="00A14D0B" w:rsidP="00E61A63">
      <w:pPr>
        <w:pStyle w:val="Heading1"/>
        <w:numPr>
          <w:ilvl w:val="0"/>
          <w:numId w:val="6"/>
        </w:numPr>
        <w:spacing w:before="282"/>
      </w:pPr>
      <w:r>
        <w:t xml:space="preserve">KONGSBERG </w:t>
      </w:r>
      <w:r w:rsidR="006521C4">
        <w:t>HARDWARE</w:t>
      </w:r>
    </w:p>
    <w:p w14:paraId="6D43509B" w14:textId="5031FE74" w:rsidR="007967DB" w:rsidRDefault="00670355">
      <w:pPr>
        <w:pStyle w:val="BodyText"/>
        <w:spacing w:before="280"/>
        <w:ind w:left="475" w:right="113"/>
      </w:pPr>
      <w:r>
        <w:t>Kongsberg H</w:t>
      </w:r>
      <w:r w:rsidR="006521C4">
        <w:t>ardware provided as part of the</w:t>
      </w:r>
      <w:r>
        <w:t xml:space="preserve"> </w:t>
      </w:r>
      <w:proofErr w:type="spellStart"/>
      <w:r>
        <w:t>Kognifai</w:t>
      </w:r>
      <w:proofErr w:type="spellEnd"/>
      <w:r>
        <w:t xml:space="preserve"> Services</w:t>
      </w:r>
      <w:r w:rsidR="006521C4">
        <w:t xml:space="preserve"> remains the property of K</w:t>
      </w:r>
      <w:r>
        <w:t>ongsberg</w:t>
      </w:r>
      <w:r w:rsidR="006521C4">
        <w:t xml:space="preserve"> unless otherwise agreed. The </w:t>
      </w:r>
      <w:r w:rsidR="00ED747C">
        <w:t>C</w:t>
      </w:r>
      <w:r w:rsidR="006521C4">
        <w:t xml:space="preserve">ustomer is responsible for the installation and operation of the </w:t>
      </w:r>
      <w:r w:rsidR="00ED747C">
        <w:t>Kongsberg H</w:t>
      </w:r>
      <w:r w:rsidR="006521C4">
        <w:t>ardware in accordance with K</w:t>
      </w:r>
      <w:r w:rsidR="00ED747C">
        <w:t>ongsberg</w:t>
      </w:r>
      <w:r w:rsidR="006521C4">
        <w:t>’s specification</w:t>
      </w:r>
      <w:r w:rsidR="00ED747C">
        <w:t>s</w:t>
      </w:r>
      <w:r w:rsidR="006521C4">
        <w:t>.</w:t>
      </w:r>
    </w:p>
    <w:p w14:paraId="6D43509C" w14:textId="39015666" w:rsidR="007967DB" w:rsidRDefault="006521C4">
      <w:pPr>
        <w:pStyle w:val="BodyText"/>
        <w:spacing w:before="279"/>
        <w:ind w:right="110"/>
      </w:pPr>
      <w:r>
        <w:t xml:space="preserve">Customers are required to contact </w:t>
      </w:r>
      <w:r w:rsidR="006E684A">
        <w:t xml:space="preserve">Kongsberg </w:t>
      </w:r>
      <w:r>
        <w:t xml:space="preserve">Support in case of malfunction, damage or suspected abuse of </w:t>
      </w:r>
      <w:r w:rsidR="006D46AA">
        <w:t>Kongsberg</w:t>
      </w:r>
      <w:r w:rsidR="006E684A">
        <w:t xml:space="preserve"> H</w:t>
      </w:r>
      <w:r>
        <w:t>ardware to arrange a replacement or service.</w:t>
      </w:r>
    </w:p>
    <w:p w14:paraId="671DEE03" w14:textId="77777777" w:rsidR="007967DB" w:rsidRDefault="007967DB">
      <w:pPr>
        <w:jc w:val="both"/>
        <w:rPr>
          <w:sz w:val="27"/>
        </w:rPr>
      </w:pPr>
      <w:bookmarkStart w:id="5" w:name="WARRANTY"/>
      <w:bookmarkEnd w:id="5"/>
    </w:p>
    <w:p w14:paraId="6D4350AB" w14:textId="453270AF" w:rsidR="007967DB" w:rsidRDefault="006521C4" w:rsidP="00C42969">
      <w:pPr>
        <w:pStyle w:val="Heading1"/>
        <w:numPr>
          <w:ilvl w:val="0"/>
          <w:numId w:val="6"/>
        </w:numPr>
        <w:spacing w:before="280"/>
      </w:pPr>
      <w:bookmarkStart w:id="6" w:name="ESCALATION"/>
      <w:bookmarkEnd w:id="6"/>
      <w:r>
        <w:t>ESCALATION</w:t>
      </w:r>
    </w:p>
    <w:p w14:paraId="6D4350AC" w14:textId="2DC3FFCA" w:rsidR="007967DB" w:rsidRDefault="006521C4">
      <w:pPr>
        <w:pStyle w:val="BodyText"/>
        <w:spacing w:before="280"/>
        <w:ind w:right="113" w:hanging="1"/>
      </w:pPr>
      <w:r>
        <w:t>Customer can escalate incidents if the service level objectives as described above have not been met by contacting K</w:t>
      </w:r>
      <w:r w:rsidR="006A4D2D">
        <w:t>ongsberg</w:t>
      </w:r>
      <w:r>
        <w:t xml:space="preserve"> through regular channels or as described below:</w:t>
      </w:r>
    </w:p>
    <w:p w14:paraId="098C6B6F" w14:textId="77777777" w:rsidR="006A4D2D" w:rsidRDefault="006A4D2D" w:rsidP="0184562D">
      <w:pPr>
        <w:ind w:left="475"/>
        <w:rPr>
          <w:color w:val="000000" w:themeColor="text1"/>
          <w:sz w:val="27"/>
          <w:szCs w:val="27"/>
          <w:lang w:val="en-GB"/>
        </w:rPr>
      </w:pPr>
    </w:p>
    <w:p w14:paraId="6D33B2A7" w14:textId="170587FA" w:rsidR="007A5BB2" w:rsidRPr="007A5BB2" w:rsidRDefault="007A5BB2" w:rsidP="007A5BB2">
      <w:pPr>
        <w:ind w:left="475"/>
        <w:rPr>
          <w:sz w:val="27"/>
          <w:szCs w:val="27"/>
          <w:lang w:val="nb-NO"/>
        </w:rPr>
      </w:pPr>
      <w:r w:rsidRPr="007A5BB2">
        <w:rPr>
          <w:sz w:val="27"/>
          <w:szCs w:val="27"/>
          <w:lang w:val="nb-NO"/>
        </w:rPr>
        <w:t xml:space="preserve">Erik Korssjøen, </w:t>
      </w:r>
      <w:r w:rsidR="00C05642" w:rsidRPr="00C05642">
        <w:rPr>
          <w:sz w:val="27"/>
          <w:szCs w:val="27"/>
          <w:lang w:val="nb-NO"/>
        </w:rPr>
        <w:t>VP Product Management</w:t>
      </w:r>
      <w:r w:rsidRPr="007A5BB2">
        <w:rPr>
          <w:sz w:val="27"/>
          <w:szCs w:val="27"/>
          <w:lang w:val="nb-NO"/>
        </w:rPr>
        <w:t>, erik.korssjoen@km.kongsberg.com</w:t>
      </w:r>
    </w:p>
    <w:p w14:paraId="2090D0F6" w14:textId="7EFF5822" w:rsidR="008F421E" w:rsidRPr="0008650C" w:rsidRDefault="008F421E" w:rsidP="008F421E">
      <w:pPr>
        <w:ind w:left="475"/>
        <w:rPr>
          <w:lang w:val="nb-NO"/>
        </w:rPr>
      </w:pPr>
      <w:r w:rsidRPr="0008650C">
        <w:rPr>
          <w:lang w:val="nb-NO"/>
        </w:rPr>
        <w:t> </w:t>
      </w:r>
    </w:p>
    <w:p w14:paraId="6D4350AE" w14:textId="41B016F4" w:rsidR="007967DB" w:rsidRDefault="006521C4" w:rsidP="000C2EB3">
      <w:pPr>
        <w:pStyle w:val="BodyText"/>
        <w:spacing w:before="281" w:line="451" w:lineRule="auto"/>
        <w:ind w:left="475" w:right="942"/>
        <w:jc w:val="left"/>
      </w:pPr>
      <w:r>
        <w:t>When escalating an incident please include the following information:</w:t>
      </w:r>
    </w:p>
    <w:p w14:paraId="6D4350AF" w14:textId="77777777" w:rsidR="007967DB" w:rsidRDefault="006521C4" w:rsidP="0008650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2" w:line="315" w:lineRule="exact"/>
        <w:rPr>
          <w:sz w:val="27"/>
        </w:rPr>
      </w:pPr>
      <w:r>
        <w:rPr>
          <w:sz w:val="27"/>
        </w:rPr>
        <w:t>Incident</w:t>
      </w:r>
      <w:r>
        <w:rPr>
          <w:spacing w:val="-2"/>
          <w:sz w:val="27"/>
        </w:rPr>
        <w:t xml:space="preserve"> </w:t>
      </w:r>
      <w:r>
        <w:rPr>
          <w:sz w:val="27"/>
        </w:rPr>
        <w:t>ID</w:t>
      </w:r>
    </w:p>
    <w:p w14:paraId="6D4350B0" w14:textId="2333DCC2" w:rsidR="007967DB" w:rsidRDefault="006521C4" w:rsidP="0008650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315" w:lineRule="exact"/>
        <w:rPr>
          <w:sz w:val="27"/>
        </w:rPr>
      </w:pPr>
      <w:r>
        <w:rPr>
          <w:sz w:val="27"/>
        </w:rPr>
        <w:t>Contact details</w:t>
      </w:r>
    </w:p>
    <w:p w14:paraId="6D4350B1" w14:textId="77777777" w:rsidR="007967DB" w:rsidRDefault="006521C4" w:rsidP="0008650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rPr>
          <w:sz w:val="27"/>
        </w:rPr>
      </w:pPr>
      <w:r>
        <w:rPr>
          <w:sz w:val="27"/>
        </w:rPr>
        <w:t>Relevant information regarding the</w:t>
      </w:r>
      <w:r>
        <w:rPr>
          <w:spacing w:val="-10"/>
          <w:sz w:val="27"/>
        </w:rPr>
        <w:t xml:space="preserve"> </w:t>
      </w:r>
      <w:r>
        <w:rPr>
          <w:sz w:val="27"/>
        </w:rPr>
        <w:t>defect</w:t>
      </w:r>
    </w:p>
    <w:p w14:paraId="7673B6F9" w14:textId="77777777" w:rsidR="001C4F02" w:rsidRDefault="001C4F02" w:rsidP="001C4F02">
      <w:pPr>
        <w:pStyle w:val="ListParagraph"/>
        <w:tabs>
          <w:tab w:val="left" w:pos="475"/>
          <w:tab w:val="left" w:pos="476"/>
        </w:tabs>
        <w:ind w:left="835" w:firstLine="0"/>
        <w:rPr>
          <w:sz w:val="27"/>
        </w:rPr>
      </w:pPr>
    </w:p>
    <w:p w14:paraId="6D4350B2" w14:textId="0BF226A6" w:rsidR="007967DB" w:rsidRDefault="0047314C" w:rsidP="00C42969">
      <w:pPr>
        <w:pStyle w:val="Heading1"/>
        <w:numPr>
          <w:ilvl w:val="0"/>
          <w:numId w:val="6"/>
        </w:numPr>
        <w:spacing w:before="281"/>
      </w:pPr>
      <w:bookmarkStart w:id="7" w:name="EXCLUSIONS"/>
      <w:bookmarkEnd w:id="7"/>
      <w:r>
        <w:t xml:space="preserve">GENERAL </w:t>
      </w:r>
      <w:r w:rsidR="006521C4">
        <w:t>EXCLUSIONS</w:t>
      </w:r>
    </w:p>
    <w:p w14:paraId="6D4350B3" w14:textId="73AD6E90" w:rsidR="007967DB" w:rsidRDefault="0047314C">
      <w:pPr>
        <w:pStyle w:val="BodyText"/>
        <w:spacing w:before="280"/>
        <w:ind w:left="475" w:right="113"/>
      </w:pPr>
      <w:r>
        <w:t>Kongsberg</w:t>
      </w:r>
      <w:r>
        <w:rPr>
          <w:spacing w:val="-14"/>
        </w:rPr>
        <w:t xml:space="preserve"> </w:t>
      </w:r>
      <w:r w:rsidR="006521C4">
        <w:t>does</w:t>
      </w:r>
      <w:r w:rsidR="006521C4">
        <w:rPr>
          <w:spacing w:val="-12"/>
        </w:rPr>
        <w:t xml:space="preserve"> </w:t>
      </w:r>
      <w:r w:rsidR="006521C4">
        <w:t>not</w:t>
      </w:r>
      <w:r w:rsidR="006521C4">
        <w:rPr>
          <w:spacing w:val="-12"/>
        </w:rPr>
        <w:t xml:space="preserve"> </w:t>
      </w:r>
      <w:r w:rsidR="006521C4">
        <w:t>accept</w:t>
      </w:r>
      <w:r w:rsidR="006521C4">
        <w:rPr>
          <w:spacing w:val="-13"/>
        </w:rPr>
        <w:t xml:space="preserve"> </w:t>
      </w:r>
      <w:r w:rsidR="006521C4">
        <w:t>responsibility</w:t>
      </w:r>
      <w:r w:rsidR="006521C4">
        <w:rPr>
          <w:spacing w:val="-10"/>
        </w:rPr>
        <w:t xml:space="preserve"> </w:t>
      </w:r>
      <w:r w:rsidR="006521C4">
        <w:t>for</w:t>
      </w:r>
      <w:r w:rsidR="006521C4">
        <w:rPr>
          <w:spacing w:val="-13"/>
        </w:rPr>
        <w:t xml:space="preserve"> </w:t>
      </w:r>
      <w:r w:rsidR="006521C4">
        <w:t>problems</w:t>
      </w:r>
      <w:r w:rsidR="006521C4">
        <w:rPr>
          <w:spacing w:val="-12"/>
        </w:rPr>
        <w:t xml:space="preserve"> </w:t>
      </w:r>
      <w:r w:rsidR="006521C4">
        <w:t>and</w:t>
      </w:r>
      <w:r w:rsidR="006521C4">
        <w:rPr>
          <w:spacing w:val="-13"/>
        </w:rPr>
        <w:t xml:space="preserve"> </w:t>
      </w:r>
      <w:r w:rsidR="006521C4">
        <w:t>damage</w:t>
      </w:r>
      <w:r w:rsidR="006521C4">
        <w:rPr>
          <w:spacing w:val="-13"/>
        </w:rPr>
        <w:t xml:space="preserve"> </w:t>
      </w:r>
      <w:r w:rsidR="006521C4">
        <w:t>related</w:t>
      </w:r>
      <w:r w:rsidR="006521C4">
        <w:rPr>
          <w:spacing w:val="-10"/>
        </w:rPr>
        <w:t xml:space="preserve"> </w:t>
      </w:r>
      <w:r w:rsidR="006521C4">
        <w:t xml:space="preserve">to the Customer’s IT infrastructure </w:t>
      </w:r>
      <w:r w:rsidR="00A02BD3">
        <w:t>including</w:t>
      </w:r>
      <w:r w:rsidR="006521C4">
        <w:t xml:space="preserve"> workstations, network build and configuration, proxy server configuration, network performance or problems that are related to applications and equipment installed by the</w:t>
      </w:r>
      <w:r w:rsidR="006521C4">
        <w:rPr>
          <w:spacing w:val="-14"/>
        </w:rPr>
        <w:t xml:space="preserve"> </w:t>
      </w:r>
      <w:r w:rsidR="00EE21E2">
        <w:t>C</w:t>
      </w:r>
      <w:r w:rsidR="006521C4">
        <w:t>ustomer.</w:t>
      </w:r>
    </w:p>
    <w:p w14:paraId="6D4350B4" w14:textId="3F5EA77E" w:rsidR="007967DB" w:rsidRDefault="006521C4">
      <w:pPr>
        <w:pStyle w:val="BodyText"/>
        <w:spacing w:before="280"/>
        <w:ind w:left="475" w:right="114"/>
      </w:pPr>
      <w:r>
        <w:t>Further,</w:t>
      </w:r>
      <w:r>
        <w:rPr>
          <w:spacing w:val="-13"/>
        </w:rPr>
        <w:t xml:space="preserve"> </w:t>
      </w:r>
      <w:r w:rsidR="00EE21E2">
        <w:t>Kongsberg</w:t>
      </w:r>
      <w:r w:rsidR="00EE21E2"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responsibility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cybersecurity</w:t>
      </w:r>
      <w:r>
        <w:rPr>
          <w:spacing w:val="-10"/>
        </w:rPr>
        <w:t xml:space="preserve"> </w:t>
      </w:r>
      <w:r>
        <w:t xml:space="preserve">incidents within </w:t>
      </w:r>
      <w:r w:rsidR="000641D6">
        <w:t>C</w:t>
      </w:r>
      <w:r>
        <w:t xml:space="preserve">ustomer-controlled infrastructures, unless the incident is caused by, or through, vulnerabilities in </w:t>
      </w:r>
      <w:r w:rsidR="00EE21E2">
        <w:t xml:space="preserve">the </w:t>
      </w:r>
      <w:proofErr w:type="spellStart"/>
      <w:r w:rsidR="00EE21E2">
        <w:t>Kognifai</w:t>
      </w:r>
      <w:proofErr w:type="spellEnd"/>
      <w:r w:rsidR="00EE21E2">
        <w:t xml:space="preserve"> Services.</w:t>
      </w:r>
    </w:p>
    <w:p w14:paraId="382ADB68" w14:textId="77777777" w:rsidR="004D6E6B" w:rsidRPr="004D6E6B" w:rsidRDefault="004D6E6B" w:rsidP="00611B96">
      <w:pPr>
        <w:pStyle w:val="Heading1"/>
        <w:spacing w:before="281"/>
        <w:ind w:left="0"/>
        <w:rPr>
          <w:sz w:val="27"/>
          <w:szCs w:val="27"/>
        </w:rPr>
      </w:pPr>
    </w:p>
    <w:p w14:paraId="6D4350B5" w14:textId="774478CB" w:rsidR="007967DB" w:rsidRPr="00F93AA0" w:rsidRDefault="00F93AA0" w:rsidP="00F93AA0">
      <w:pPr>
        <w:pStyle w:val="Heading1"/>
        <w:numPr>
          <w:ilvl w:val="0"/>
          <w:numId w:val="6"/>
        </w:numPr>
        <w:spacing w:before="281"/>
      </w:pPr>
      <w:r w:rsidRPr="00F93AA0">
        <w:t>DEFINITIONS</w:t>
      </w:r>
    </w:p>
    <w:p w14:paraId="6D4350B6" w14:textId="6803A775" w:rsidR="007967DB" w:rsidRDefault="006521C4">
      <w:pPr>
        <w:pStyle w:val="BodyText"/>
        <w:spacing w:before="279"/>
        <w:ind w:right="113"/>
      </w:pPr>
      <w:r w:rsidRPr="0075213D">
        <w:rPr>
          <w:b/>
          <w:bCs/>
          <w:i/>
        </w:rPr>
        <w:t>System Maintenance</w:t>
      </w:r>
      <w:r>
        <w:rPr>
          <w:i/>
        </w:rPr>
        <w:t xml:space="preserve">: </w:t>
      </w:r>
      <w:r>
        <w:t xml:space="preserve">Planned maintenance performed during fixed periods (20:00-08:00 CET). During system maintenance, the </w:t>
      </w:r>
      <w:proofErr w:type="spellStart"/>
      <w:r w:rsidR="007E6D70">
        <w:t>Kognifai</w:t>
      </w:r>
      <w:proofErr w:type="spellEnd"/>
      <w:r w:rsidR="007E6D70">
        <w:t xml:space="preserve"> S</w:t>
      </w:r>
      <w:r>
        <w:t>ervice</w:t>
      </w:r>
      <w:r w:rsidR="007E6D70">
        <w:t>s</w:t>
      </w:r>
      <w:r>
        <w:t xml:space="preserve"> or parts of the </w:t>
      </w:r>
      <w:proofErr w:type="spellStart"/>
      <w:r w:rsidR="007E6D70">
        <w:t>Kognifai</w:t>
      </w:r>
      <w:proofErr w:type="spellEnd"/>
      <w:r w:rsidR="007E6D70">
        <w:t xml:space="preserve"> Services </w:t>
      </w:r>
      <w:r>
        <w:t xml:space="preserve">might not be available for use. </w:t>
      </w:r>
      <w:proofErr w:type="gramStart"/>
      <w:r>
        <w:t xml:space="preserve">Customer </w:t>
      </w:r>
      <w:r w:rsidR="00323844">
        <w:t>is</w:t>
      </w:r>
      <w:proofErr w:type="gramEnd"/>
      <w:r>
        <w:t xml:space="preserve"> notified</w:t>
      </w:r>
      <w:r w:rsidR="00E51410">
        <w:rPr>
          <w:spacing w:val="-45"/>
        </w:rPr>
        <w:t xml:space="preserve"> one (</w:t>
      </w:r>
      <w:r>
        <w:t>1</w:t>
      </w:r>
      <w:r w:rsidR="00E51410">
        <w:t>)</w:t>
      </w:r>
      <w:r>
        <w:t xml:space="preserve"> week in advance of scheduled maintenance. Maintenance periods are subject to change and in case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un-planned</w:t>
      </w:r>
      <w:r>
        <w:rPr>
          <w:spacing w:val="-17"/>
        </w:rPr>
        <w:t xml:space="preserve"> </w:t>
      </w:r>
      <w:r>
        <w:t>maintenance</w:t>
      </w:r>
      <w:r>
        <w:rPr>
          <w:spacing w:val="-16"/>
        </w:rPr>
        <w:t xml:space="preserve"> </w:t>
      </w:r>
      <w:r>
        <w:t>K</w:t>
      </w:r>
      <w:r w:rsidR="009E1E8C">
        <w:t>ongsberg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it</w:t>
      </w:r>
      <w:r w:rsidR="00323844">
        <w:t>s</w:t>
      </w:r>
      <w:r>
        <w:rPr>
          <w:spacing w:val="-16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notify</w:t>
      </w:r>
      <w:r>
        <w:rPr>
          <w:spacing w:val="-14"/>
        </w:rPr>
        <w:t xml:space="preserve"> </w:t>
      </w:r>
      <w:r w:rsidR="00323844">
        <w:t>C</w:t>
      </w:r>
      <w:r>
        <w:t>ustomer.</w:t>
      </w:r>
    </w:p>
    <w:p w14:paraId="6D4350B9" w14:textId="07ABFB0E" w:rsidR="007967DB" w:rsidRDefault="006521C4" w:rsidP="0075213D">
      <w:pPr>
        <w:pStyle w:val="BodyText"/>
        <w:spacing w:before="280"/>
        <w:ind w:left="475" w:right="114"/>
      </w:pPr>
      <w:r w:rsidRPr="0075213D">
        <w:rPr>
          <w:b/>
          <w:bCs/>
          <w:i/>
        </w:rPr>
        <w:t>Vessel</w:t>
      </w:r>
      <w:r w:rsidRPr="0075213D">
        <w:rPr>
          <w:b/>
          <w:bCs/>
          <w:i/>
          <w:spacing w:val="-15"/>
        </w:rPr>
        <w:t xml:space="preserve"> </w:t>
      </w:r>
      <w:r w:rsidRPr="0075213D">
        <w:rPr>
          <w:b/>
          <w:bCs/>
          <w:i/>
        </w:rPr>
        <w:t>Maintenance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maintenance</w:t>
      </w:r>
      <w:r>
        <w:rPr>
          <w:spacing w:val="-16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onboard,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 w:rsidR="009E1E8C">
        <w:t>Kognifai</w:t>
      </w:r>
      <w:proofErr w:type="spellEnd"/>
      <w:r w:rsidR="009E1E8C">
        <w:t xml:space="preserve"> Services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parts 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 w:rsidR="009E1E8C" w:rsidRPr="009E1E8C">
        <w:t>Kognifai</w:t>
      </w:r>
      <w:proofErr w:type="spellEnd"/>
      <w:r w:rsidR="009E1E8C" w:rsidRPr="009E1E8C">
        <w:t xml:space="preserve"> Services</w:t>
      </w:r>
      <w:r>
        <w:rPr>
          <w:spacing w:val="-12"/>
        </w:rPr>
        <w:t xml:space="preserve"> </w:t>
      </w:r>
      <w:r>
        <w:t>might</w:t>
      </w:r>
      <w:r>
        <w:rPr>
          <w:spacing w:val="-1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vessel.</w:t>
      </w:r>
      <w:r>
        <w:rPr>
          <w:spacing w:val="4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duration</w:t>
      </w:r>
      <w:r w:rsidR="0075213D">
        <w:t xml:space="preserve"> </w:t>
      </w:r>
      <w:r>
        <w:t xml:space="preserve">of vessel maintenance is excluded from the availability metric for a particular </w:t>
      </w:r>
      <w:r w:rsidR="00846BBD">
        <w:t>C</w:t>
      </w:r>
      <w:r>
        <w:t>ustomer.</w:t>
      </w:r>
    </w:p>
    <w:p w14:paraId="6D4350BA" w14:textId="2CF8C1DE" w:rsidR="007967DB" w:rsidRDefault="006521C4">
      <w:pPr>
        <w:pStyle w:val="BodyText"/>
        <w:spacing w:before="281"/>
        <w:ind w:left="475" w:right="113"/>
      </w:pPr>
      <w:r w:rsidRPr="0075213D">
        <w:rPr>
          <w:b/>
          <w:bCs/>
          <w:i/>
        </w:rPr>
        <w:t>Availability</w:t>
      </w:r>
      <w:r>
        <w:rPr>
          <w:i/>
        </w:rPr>
        <w:t xml:space="preserve">: </w:t>
      </w:r>
      <w:r>
        <w:t xml:space="preserve">Amount of time the </w:t>
      </w:r>
      <w:proofErr w:type="spellStart"/>
      <w:r w:rsidR="00846BBD">
        <w:t>Kognifai</w:t>
      </w:r>
      <w:proofErr w:type="spellEnd"/>
      <w:r w:rsidR="00846BBD">
        <w:t xml:space="preserve"> Services are</w:t>
      </w:r>
      <w:r>
        <w:t xml:space="preserve"> available for use by </w:t>
      </w:r>
      <w:r w:rsidR="00846BBD">
        <w:t>C</w:t>
      </w:r>
      <w:r>
        <w:t>ustomer during a calendar month. Availability or uptime is expressed as a percentage and is calculated as follows:</w:t>
      </w:r>
    </w:p>
    <w:p w14:paraId="6D4350BB" w14:textId="77777777" w:rsidR="007967DB" w:rsidRDefault="007967DB">
      <w:pPr>
        <w:pStyle w:val="BodyText"/>
        <w:ind w:left="0"/>
        <w:jc w:val="left"/>
        <w:rPr>
          <w:sz w:val="20"/>
        </w:rPr>
      </w:pPr>
    </w:p>
    <w:p w14:paraId="6D4350BC" w14:textId="77777777" w:rsidR="007967DB" w:rsidRDefault="006521C4">
      <w:pPr>
        <w:pStyle w:val="BodyText"/>
        <w:spacing w:before="8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4350BF" wp14:editId="6D4350C0">
            <wp:simplePos x="0" y="0"/>
            <wp:positionH relativeFrom="page">
              <wp:posOffset>899795</wp:posOffset>
            </wp:positionH>
            <wp:positionV relativeFrom="paragraph">
              <wp:posOffset>104857</wp:posOffset>
            </wp:positionV>
            <wp:extent cx="4876800" cy="457200"/>
            <wp:effectExtent l="0" t="0" r="0" b="0"/>
            <wp:wrapTopAndBottom/>
            <wp:docPr id="1" name="image1.jpeg" descr="last pic vi sl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350BD" w14:textId="77777777" w:rsidR="007967DB" w:rsidRDefault="007967DB">
      <w:pPr>
        <w:pStyle w:val="BodyText"/>
        <w:spacing w:before="8"/>
        <w:ind w:left="0"/>
        <w:jc w:val="left"/>
        <w:rPr>
          <w:sz w:val="31"/>
        </w:rPr>
      </w:pPr>
    </w:p>
    <w:p w14:paraId="6D4350BE" w14:textId="55FBD7E5" w:rsidR="007967DB" w:rsidRDefault="006521C4">
      <w:pPr>
        <w:ind w:left="475" w:right="112" w:hanging="1"/>
        <w:jc w:val="both"/>
        <w:rPr>
          <w:sz w:val="27"/>
        </w:rPr>
      </w:pPr>
      <w:r w:rsidRPr="0075213D">
        <w:rPr>
          <w:b/>
          <w:bCs/>
          <w:i/>
          <w:sz w:val="27"/>
        </w:rPr>
        <w:t>Downtime</w:t>
      </w:r>
      <w:r>
        <w:rPr>
          <w:i/>
          <w:sz w:val="27"/>
        </w:rPr>
        <w:t xml:space="preserve">: </w:t>
      </w:r>
      <w:r>
        <w:rPr>
          <w:sz w:val="27"/>
        </w:rPr>
        <w:t xml:space="preserve">Amount of time the </w:t>
      </w:r>
      <w:proofErr w:type="spellStart"/>
      <w:r w:rsidR="00F4755A">
        <w:rPr>
          <w:sz w:val="27"/>
        </w:rPr>
        <w:t>Kognifai</w:t>
      </w:r>
      <w:proofErr w:type="spellEnd"/>
      <w:r w:rsidR="00F4755A">
        <w:rPr>
          <w:sz w:val="27"/>
        </w:rPr>
        <w:t xml:space="preserve"> Services are </w:t>
      </w:r>
      <w:r>
        <w:rPr>
          <w:sz w:val="27"/>
        </w:rPr>
        <w:t xml:space="preserve">not available for use by </w:t>
      </w:r>
      <w:r w:rsidR="00F4755A">
        <w:rPr>
          <w:sz w:val="27"/>
        </w:rPr>
        <w:t>C</w:t>
      </w:r>
      <w:r>
        <w:rPr>
          <w:sz w:val="27"/>
        </w:rPr>
        <w:t xml:space="preserve">ustomer during a </w:t>
      </w:r>
      <w:r w:rsidR="001053E7">
        <w:rPr>
          <w:sz w:val="27"/>
        </w:rPr>
        <w:t>calendar month</w:t>
      </w:r>
      <w:r>
        <w:rPr>
          <w:sz w:val="27"/>
        </w:rPr>
        <w:t xml:space="preserve">.   Downtime   is   calculated   as   </w:t>
      </w:r>
      <w:r w:rsidR="001053E7">
        <w:rPr>
          <w:sz w:val="27"/>
        </w:rPr>
        <w:t>a percentage</w:t>
      </w:r>
      <w:r>
        <w:rPr>
          <w:sz w:val="27"/>
        </w:rPr>
        <w:t xml:space="preserve">: </w:t>
      </w:r>
      <w:r>
        <w:rPr>
          <w:i/>
          <w:sz w:val="27"/>
        </w:rPr>
        <w:t>Downtime = 100% -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Availability</w:t>
      </w:r>
      <w:r>
        <w:rPr>
          <w:sz w:val="27"/>
        </w:rPr>
        <w:t>.</w:t>
      </w:r>
    </w:p>
    <w:p w14:paraId="02E14AD1" w14:textId="77777777" w:rsidR="00EC1DA8" w:rsidRDefault="00EC1DA8">
      <w:pPr>
        <w:ind w:left="475" w:right="112" w:hanging="1"/>
        <w:jc w:val="both"/>
        <w:rPr>
          <w:sz w:val="27"/>
        </w:rPr>
      </w:pPr>
    </w:p>
    <w:p w14:paraId="2F3E3315" w14:textId="77777777" w:rsidR="00EC1DA8" w:rsidRDefault="00EC1DA8">
      <w:pPr>
        <w:ind w:left="475" w:right="112" w:hanging="1"/>
        <w:jc w:val="both"/>
        <w:rPr>
          <w:sz w:val="27"/>
        </w:rPr>
      </w:pPr>
    </w:p>
    <w:p w14:paraId="5C3AA9D2" w14:textId="77777777" w:rsidR="00EC1DA8" w:rsidRDefault="00EC1DA8">
      <w:pPr>
        <w:ind w:left="475" w:right="112" w:hanging="1"/>
        <w:jc w:val="both"/>
        <w:rPr>
          <w:sz w:val="27"/>
        </w:rPr>
      </w:pPr>
    </w:p>
    <w:p w14:paraId="50E41A81" w14:textId="003A6B7F" w:rsidR="00EC1DA8" w:rsidRDefault="00EC1DA8">
      <w:pPr>
        <w:ind w:left="475" w:right="112" w:hanging="1"/>
        <w:jc w:val="both"/>
        <w:rPr>
          <w:sz w:val="27"/>
        </w:rPr>
      </w:pPr>
      <w:r>
        <w:rPr>
          <w:sz w:val="27"/>
        </w:rPr>
        <w:t>Revised: 10.06.2025</w:t>
      </w:r>
    </w:p>
    <w:sectPr w:rsidR="00EC1DA8">
      <w:footerReference w:type="even" r:id="rId14"/>
      <w:footerReference w:type="default" r:id="rId15"/>
      <w:footerReference w:type="first" r:id="rId16"/>
      <w:pgSz w:w="11910" w:h="16840"/>
      <w:pgMar w:top="1320" w:right="13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25D3" w14:textId="77777777" w:rsidR="00362932" w:rsidRDefault="00362932" w:rsidP="006520F7">
      <w:r>
        <w:separator/>
      </w:r>
    </w:p>
  </w:endnote>
  <w:endnote w:type="continuationSeparator" w:id="0">
    <w:p w14:paraId="165DE58D" w14:textId="77777777" w:rsidR="00362932" w:rsidRDefault="00362932" w:rsidP="006520F7">
      <w:r>
        <w:continuationSeparator/>
      </w:r>
    </w:p>
  </w:endnote>
  <w:endnote w:type="continuationNotice" w:id="1">
    <w:p w14:paraId="39740D09" w14:textId="77777777" w:rsidR="00362932" w:rsidRDefault="00362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8E7C" w14:textId="77777777" w:rsidR="006520F7" w:rsidRDefault="0065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D0EA" w14:textId="77777777" w:rsidR="006520F7" w:rsidRDefault="00652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1884" w14:textId="77777777" w:rsidR="006520F7" w:rsidRDefault="00652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7F9D" w14:textId="77777777" w:rsidR="00362932" w:rsidRDefault="00362932" w:rsidP="006520F7">
      <w:r>
        <w:separator/>
      </w:r>
    </w:p>
  </w:footnote>
  <w:footnote w:type="continuationSeparator" w:id="0">
    <w:p w14:paraId="318DA71C" w14:textId="77777777" w:rsidR="00362932" w:rsidRDefault="00362932" w:rsidP="006520F7">
      <w:r>
        <w:continuationSeparator/>
      </w:r>
    </w:p>
  </w:footnote>
  <w:footnote w:type="continuationNotice" w:id="1">
    <w:p w14:paraId="0C9B2A80" w14:textId="77777777" w:rsidR="00362932" w:rsidRDefault="003629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227"/>
    <w:multiLevelType w:val="hybridMultilevel"/>
    <w:tmpl w:val="5D24B2BA"/>
    <w:lvl w:ilvl="0" w:tplc="0809000F">
      <w:start w:val="1"/>
      <w:numFmt w:val="decimal"/>
      <w:lvlText w:val="%1."/>
      <w:lvlJc w:val="left"/>
      <w:pPr>
        <w:ind w:left="1195" w:hanging="360"/>
      </w:pPr>
    </w:lvl>
    <w:lvl w:ilvl="1" w:tplc="08090019" w:tentative="1">
      <w:start w:val="1"/>
      <w:numFmt w:val="lowerLetter"/>
      <w:lvlText w:val="%2."/>
      <w:lvlJc w:val="left"/>
      <w:pPr>
        <w:ind w:left="1915" w:hanging="360"/>
      </w:pPr>
    </w:lvl>
    <w:lvl w:ilvl="2" w:tplc="0809001B" w:tentative="1">
      <w:start w:val="1"/>
      <w:numFmt w:val="lowerRoman"/>
      <w:lvlText w:val="%3."/>
      <w:lvlJc w:val="right"/>
      <w:pPr>
        <w:ind w:left="2635" w:hanging="180"/>
      </w:pPr>
    </w:lvl>
    <w:lvl w:ilvl="3" w:tplc="0809000F" w:tentative="1">
      <w:start w:val="1"/>
      <w:numFmt w:val="decimal"/>
      <w:lvlText w:val="%4."/>
      <w:lvlJc w:val="left"/>
      <w:pPr>
        <w:ind w:left="3355" w:hanging="360"/>
      </w:pPr>
    </w:lvl>
    <w:lvl w:ilvl="4" w:tplc="08090019" w:tentative="1">
      <w:start w:val="1"/>
      <w:numFmt w:val="lowerLetter"/>
      <w:lvlText w:val="%5."/>
      <w:lvlJc w:val="left"/>
      <w:pPr>
        <w:ind w:left="4075" w:hanging="360"/>
      </w:pPr>
    </w:lvl>
    <w:lvl w:ilvl="5" w:tplc="0809001B" w:tentative="1">
      <w:start w:val="1"/>
      <w:numFmt w:val="lowerRoman"/>
      <w:lvlText w:val="%6."/>
      <w:lvlJc w:val="right"/>
      <w:pPr>
        <w:ind w:left="4795" w:hanging="180"/>
      </w:pPr>
    </w:lvl>
    <w:lvl w:ilvl="6" w:tplc="0809000F" w:tentative="1">
      <w:start w:val="1"/>
      <w:numFmt w:val="decimal"/>
      <w:lvlText w:val="%7."/>
      <w:lvlJc w:val="left"/>
      <w:pPr>
        <w:ind w:left="5515" w:hanging="360"/>
      </w:pPr>
    </w:lvl>
    <w:lvl w:ilvl="7" w:tplc="08090019" w:tentative="1">
      <w:start w:val="1"/>
      <w:numFmt w:val="lowerLetter"/>
      <w:lvlText w:val="%8."/>
      <w:lvlJc w:val="left"/>
      <w:pPr>
        <w:ind w:left="6235" w:hanging="360"/>
      </w:pPr>
    </w:lvl>
    <w:lvl w:ilvl="8" w:tplc="08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2BC05A2"/>
    <w:multiLevelType w:val="hybridMultilevel"/>
    <w:tmpl w:val="7990F910"/>
    <w:lvl w:ilvl="0" w:tplc="5CC2F22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FB48322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3DDC834E"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C0D899FE">
      <w:numFmt w:val="bullet"/>
      <w:lvlText w:val="•"/>
      <w:lvlJc w:val="left"/>
      <w:pPr>
        <w:ind w:left="2008" w:hanging="360"/>
      </w:pPr>
      <w:rPr>
        <w:rFonts w:hint="default"/>
      </w:rPr>
    </w:lvl>
    <w:lvl w:ilvl="4" w:tplc="51664D14">
      <w:numFmt w:val="bullet"/>
      <w:lvlText w:val="•"/>
      <w:lvlJc w:val="left"/>
      <w:pPr>
        <w:ind w:left="2364" w:hanging="360"/>
      </w:pPr>
      <w:rPr>
        <w:rFonts w:hint="default"/>
      </w:rPr>
    </w:lvl>
    <w:lvl w:ilvl="5" w:tplc="76F61A46">
      <w:numFmt w:val="bullet"/>
      <w:lvlText w:val="•"/>
      <w:lvlJc w:val="left"/>
      <w:pPr>
        <w:ind w:left="2721" w:hanging="360"/>
      </w:pPr>
      <w:rPr>
        <w:rFonts w:hint="default"/>
      </w:rPr>
    </w:lvl>
    <w:lvl w:ilvl="6" w:tplc="55341526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DA7ECD10">
      <w:numFmt w:val="bullet"/>
      <w:lvlText w:val="•"/>
      <w:lvlJc w:val="left"/>
      <w:pPr>
        <w:ind w:left="3433" w:hanging="360"/>
      </w:pPr>
      <w:rPr>
        <w:rFonts w:hint="default"/>
      </w:rPr>
    </w:lvl>
    <w:lvl w:ilvl="8" w:tplc="8580E8C6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" w15:restartNumberingAfterBreak="0">
    <w:nsid w:val="36686B8C"/>
    <w:multiLevelType w:val="hybridMultilevel"/>
    <w:tmpl w:val="6CE8794E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0DD1F88"/>
    <w:multiLevelType w:val="hybridMultilevel"/>
    <w:tmpl w:val="998C379C"/>
    <w:lvl w:ilvl="0" w:tplc="DF7EA5C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FCCA18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B72208E6"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D8B63AE8">
      <w:numFmt w:val="bullet"/>
      <w:lvlText w:val="•"/>
      <w:lvlJc w:val="left"/>
      <w:pPr>
        <w:ind w:left="2008" w:hanging="360"/>
      </w:pPr>
      <w:rPr>
        <w:rFonts w:hint="default"/>
      </w:rPr>
    </w:lvl>
    <w:lvl w:ilvl="4" w:tplc="36F475F8">
      <w:numFmt w:val="bullet"/>
      <w:lvlText w:val="•"/>
      <w:lvlJc w:val="left"/>
      <w:pPr>
        <w:ind w:left="2364" w:hanging="360"/>
      </w:pPr>
      <w:rPr>
        <w:rFonts w:hint="default"/>
      </w:rPr>
    </w:lvl>
    <w:lvl w:ilvl="5" w:tplc="1CCAD3CA">
      <w:numFmt w:val="bullet"/>
      <w:lvlText w:val="•"/>
      <w:lvlJc w:val="left"/>
      <w:pPr>
        <w:ind w:left="2721" w:hanging="360"/>
      </w:pPr>
      <w:rPr>
        <w:rFonts w:hint="default"/>
      </w:rPr>
    </w:lvl>
    <w:lvl w:ilvl="6" w:tplc="6D328206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8E7E13AC">
      <w:numFmt w:val="bullet"/>
      <w:lvlText w:val="•"/>
      <w:lvlJc w:val="left"/>
      <w:pPr>
        <w:ind w:left="3433" w:hanging="360"/>
      </w:pPr>
      <w:rPr>
        <w:rFonts w:hint="default"/>
      </w:rPr>
    </w:lvl>
    <w:lvl w:ilvl="8" w:tplc="0CC07226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4" w15:restartNumberingAfterBreak="0">
    <w:nsid w:val="4A642FF6"/>
    <w:multiLevelType w:val="hybridMultilevel"/>
    <w:tmpl w:val="3300E94E"/>
    <w:lvl w:ilvl="0" w:tplc="2D04774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40423C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4826418A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D004D9B4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7BA6FE9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CEFE9DA4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44B2CEB8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294CB244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6B180CD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5" w15:restartNumberingAfterBreak="0">
    <w:nsid w:val="58F90527"/>
    <w:multiLevelType w:val="hybridMultilevel"/>
    <w:tmpl w:val="BD4473AA"/>
    <w:lvl w:ilvl="0" w:tplc="D1D8F61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A32A0AA"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339EBA2A"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704CAD46">
      <w:numFmt w:val="bullet"/>
      <w:lvlText w:val="•"/>
      <w:lvlJc w:val="left"/>
      <w:pPr>
        <w:ind w:left="2008" w:hanging="360"/>
      </w:pPr>
      <w:rPr>
        <w:rFonts w:hint="default"/>
      </w:rPr>
    </w:lvl>
    <w:lvl w:ilvl="4" w:tplc="F0DA9936">
      <w:numFmt w:val="bullet"/>
      <w:lvlText w:val="•"/>
      <w:lvlJc w:val="left"/>
      <w:pPr>
        <w:ind w:left="2364" w:hanging="360"/>
      </w:pPr>
      <w:rPr>
        <w:rFonts w:hint="default"/>
      </w:rPr>
    </w:lvl>
    <w:lvl w:ilvl="5" w:tplc="3CD2AFC2">
      <w:numFmt w:val="bullet"/>
      <w:lvlText w:val="•"/>
      <w:lvlJc w:val="left"/>
      <w:pPr>
        <w:ind w:left="2721" w:hanging="360"/>
      </w:pPr>
      <w:rPr>
        <w:rFonts w:hint="default"/>
      </w:rPr>
    </w:lvl>
    <w:lvl w:ilvl="6" w:tplc="3C1C5DE0">
      <w:numFmt w:val="bullet"/>
      <w:lvlText w:val="•"/>
      <w:lvlJc w:val="left"/>
      <w:pPr>
        <w:ind w:left="3077" w:hanging="360"/>
      </w:pPr>
      <w:rPr>
        <w:rFonts w:hint="default"/>
      </w:rPr>
    </w:lvl>
    <w:lvl w:ilvl="7" w:tplc="CC382720">
      <w:numFmt w:val="bullet"/>
      <w:lvlText w:val="•"/>
      <w:lvlJc w:val="left"/>
      <w:pPr>
        <w:ind w:left="3433" w:hanging="360"/>
      </w:pPr>
      <w:rPr>
        <w:rFonts w:hint="default"/>
      </w:rPr>
    </w:lvl>
    <w:lvl w:ilvl="8" w:tplc="5DF64404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6" w15:restartNumberingAfterBreak="0">
    <w:nsid w:val="7BB9476F"/>
    <w:multiLevelType w:val="hybridMultilevel"/>
    <w:tmpl w:val="3EC2E432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728576661">
    <w:abstractNumId w:val="4"/>
  </w:num>
  <w:num w:numId="2" w16cid:durableId="1073088183">
    <w:abstractNumId w:val="1"/>
  </w:num>
  <w:num w:numId="3" w16cid:durableId="363946858">
    <w:abstractNumId w:val="3"/>
  </w:num>
  <w:num w:numId="4" w16cid:durableId="1591768261">
    <w:abstractNumId w:val="5"/>
  </w:num>
  <w:num w:numId="5" w16cid:durableId="86193533">
    <w:abstractNumId w:val="6"/>
  </w:num>
  <w:num w:numId="6" w16cid:durableId="2086026150">
    <w:abstractNumId w:val="0"/>
  </w:num>
  <w:num w:numId="7" w16cid:durableId="59317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B"/>
    <w:rsid w:val="0001393D"/>
    <w:rsid w:val="0002033B"/>
    <w:rsid w:val="00030F68"/>
    <w:rsid w:val="00053EA8"/>
    <w:rsid w:val="000641D6"/>
    <w:rsid w:val="0007061A"/>
    <w:rsid w:val="0008650C"/>
    <w:rsid w:val="000939AD"/>
    <w:rsid w:val="00096B05"/>
    <w:rsid w:val="000C09C6"/>
    <w:rsid w:val="000C2EB3"/>
    <w:rsid w:val="000C630E"/>
    <w:rsid w:val="000E6863"/>
    <w:rsid w:val="001053E7"/>
    <w:rsid w:val="001153D4"/>
    <w:rsid w:val="00170ADE"/>
    <w:rsid w:val="001C2D99"/>
    <w:rsid w:val="001C4F02"/>
    <w:rsid w:val="001C6D8A"/>
    <w:rsid w:val="001F1604"/>
    <w:rsid w:val="001F3268"/>
    <w:rsid w:val="002363CE"/>
    <w:rsid w:val="00242387"/>
    <w:rsid w:val="002A60C9"/>
    <w:rsid w:val="002B3626"/>
    <w:rsid w:val="002C1DB3"/>
    <w:rsid w:val="002C48A4"/>
    <w:rsid w:val="002E52EB"/>
    <w:rsid w:val="002F3A08"/>
    <w:rsid w:val="003102C5"/>
    <w:rsid w:val="003119BB"/>
    <w:rsid w:val="0031592A"/>
    <w:rsid w:val="00323844"/>
    <w:rsid w:val="00327EAE"/>
    <w:rsid w:val="00351DE6"/>
    <w:rsid w:val="00354D8F"/>
    <w:rsid w:val="00361278"/>
    <w:rsid w:val="00362932"/>
    <w:rsid w:val="00362CB3"/>
    <w:rsid w:val="00362CCA"/>
    <w:rsid w:val="003643C5"/>
    <w:rsid w:val="00384D4F"/>
    <w:rsid w:val="003A16CA"/>
    <w:rsid w:val="003C7861"/>
    <w:rsid w:val="003F4898"/>
    <w:rsid w:val="004051EB"/>
    <w:rsid w:val="00441CE8"/>
    <w:rsid w:val="004728DF"/>
    <w:rsid w:val="0047314C"/>
    <w:rsid w:val="00487FE1"/>
    <w:rsid w:val="004B6665"/>
    <w:rsid w:val="004C56CB"/>
    <w:rsid w:val="004D6E6B"/>
    <w:rsid w:val="004E1EE1"/>
    <w:rsid w:val="004F53F9"/>
    <w:rsid w:val="004F68D4"/>
    <w:rsid w:val="005001EE"/>
    <w:rsid w:val="005071C3"/>
    <w:rsid w:val="00520870"/>
    <w:rsid w:val="005245AA"/>
    <w:rsid w:val="005315C3"/>
    <w:rsid w:val="005356C6"/>
    <w:rsid w:val="00537280"/>
    <w:rsid w:val="00546AC0"/>
    <w:rsid w:val="0056134A"/>
    <w:rsid w:val="00566EE3"/>
    <w:rsid w:val="005D5E7C"/>
    <w:rsid w:val="005D7538"/>
    <w:rsid w:val="005E1112"/>
    <w:rsid w:val="005F1F23"/>
    <w:rsid w:val="00611B96"/>
    <w:rsid w:val="00617157"/>
    <w:rsid w:val="00620AEA"/>
    <w:rsid w:val="00634364"/>
    <w:rsid w:val="00650A13"/>
    <w:rsid w:val="006520F7"/>
    <w:rsid w:val="006521C4"/>
    <w:rsid w:val="00656C16"/>
    <w:rsid w:val="00670355"/>
    <w:rsid w:val="006716E6"/>
    <w:rsid w:val="00680BD4"/>
    <w:rsid w:val="0068302D"/>
    <w:rsid w:val="00696E59"/>
    <w:rsid w:val="006A4D2D"/>
    <w:rsid w:val="006B4622"/>
    <w:rsid w:val="006B4644"/>
    <w:rsid w:val="006B66A8"/>
    <w:rsid w:val="006D026C"/>
    <w:rsid w:val="006D46AA"/>
    <w:rsid w:val="006D5CA5"/>
    <w:rsid w:val="006E684A"/>
    <w:rsid w:val="006E79C9"/>
    <w:rsid w:val="006F3209"/>
    <w:rsid w:val="006F3D35"/>
    <w:rsid w:val="00703D05"/>
    <w:rsid w:val="00704279"/>
    <w:rsid w:val="00725AAF"/>
    <w:rsid w:val="00731886"/>
    <w:rsid w:val="0073487F"/>
    <w:rsid w:val="007351E4"/>
    <w:rsid w:val="00746E2E"/>
    <w:rsid w:val="0075213D"/>
    <w:rsid w:val="0075643C"/>
    <w:rsid w:val="00762F28"/>
    <w:rsid w:val="0076331A"/>
    <w:rsid w:val="00781B17"/>
    <w:rsid w:val="007837B2"/>
    <w:rsid w:val="007933A1"/>
    <w:rsid w:val="007967DB"/>
    <w:rsid w:val="007A36B6"/>
    <w:rsid w:val="007A5BB2"/>
    <w:rsid w:val="007E6D70"/>
    <w:rsid w:val="008258CD"/>
    <w:rsid w:val="00846BBD"/>
    <w:rsid w:val="0086429D"/>
    <w:rsid w:val="00881548"/>
    <w:rsid w:val="0088227D"/>
    <w:rsid w:val="00886AC0"/>
    <w:rsid w:val="00891CC4"/>
    <w:rsid w:val="008A47C0"/>
    <w:rsid w:val="008C6165"/>
    <w:rsid w:val="008C6248"/>
    <w:rsid w:val="008D2BB8"/>
    <w:rsid w:val="008F421E"/>
    <w:rsid w:val="0090257B"/>
    <w:rsid w:val="009125D9"/>
    <w:rsid w:val="009215CA"/>
    <w:rsid w:val="009320BA"/>
    <w:rsid w:val="0093596E"/>
    <w:rsid w:val="009456ED"/>
    <w:rsid w:val="00953C01"/>
    <w:rsid w:val="00993A47"/>
    <w:rsid w:val="00993C8C"/>
    <w:rsid w:val="009954AA"/>
    <w:rsid w:val="009A191B"/>
    <w:rsid w:val="009A3497"/>
    <w:rsid w:val="009A40D5"/>
    <w:rsid w:val="009B3127"/>
    <w:rsid w:val="009D40E2"/>
    <w:rsid w:val="009E1E8C"/>
    <w:rsid w:val="009E5839"/>
    <w:rsid w:val="009F0309"/>
    <w:rsid w:val="00A02BD3"/>
    <w:rsid w:val="00A14D0B"/>
    <w:rsid w:val="00A2235D"/>
    <w:rsid w:val="00A45982"/>
    <w:rsid w:val="00A71DFC"/>
    <w:rsid w:val="00A84487"/>
    <w:rsid w:val="00A92F67"/>
    <w:rsid w:val="00AA3472"/>
    <w:rsid w:val="00AB3DE3"/>
    <w:rsid w:val="00AB797C"/>
    <w:rsid w:val="00B002F2"/>
    <w:rsid w:val="00B0592B"/>
    <w:rsid w:val="00B17D27"/>
    <w:rsid w:val="00B40C6B"/>
    <w:rsid w:val="00B424AC"/>
    <w:rsid w:val="00B444ED"/>
    <w:rsid w:val="00B918EF"/>
    <w:rsid w:val="00BA5634"/>
    <w:rsid w:val="00BC05C4"/>
    <w:rsid w:val="00BC0784"/>
    <w:rsid w:val="00BC0F92"/>
    <w:rsid w:val="00BC4959"/>
    <w:rsid w:val="00BE7154"/>
    <w:rsid w:val="00BF02CE"/>
    <w:rsid w:val="00C05642"/>
    <w:rsid w:val="00C21B4F"/>
    <w:rsid w:val="00C42969"/>
    <w:rsid w:val="00C46C18"/>
    <w:rsid w:val="00C62F6A"/>
    <w:rsid w:val="00C72638"/>
    <w:rsid w:val="00C84732"/>
    <w:rsid w:val="00CA5512"/>
    <w:rsid w:val="00CB154F"/>
    <w:rsid w:val="00CC76AD"/>
    <w:rsid w:val="00D03704"/>
    <w:rsid w:val="00D077A8"/>
    <w:rsid w:val="00D14BA5"/>
    <w:rsid w:val="00D200C7"/>
    <w:rsid w:val="00D21B4A"/>
    <w:rsid w:val="00D26BE6"/>
    <w:rsid w:val="00D64F75"/>
    <w:rsid w:val="00D70401"/>
    <w:rsid w:val="00DB4235"/>
    <w:rsid w:val="00DB7FD2"/>
    <w:rsid w:val="00DE47F9"/>
    <w:rsid w:val="00E020C2"/>
    <w:rsid w:val="00E12D74"/>
    <w:rsid w:val="00E1418D"/>
    <w:rsid w:val="00E16C89"/>
    <w:rsid w:val="00E40223"/>
    <w:rsid w:val="00E51410"/>
    <w:rsid w:val="00E61A63"/>
    <w:rsid w:val="00E62E4B"/>
    <w:rsid w:val="00E6719F"/>
    <w:rsid w:val="00E91FCD"/>
    <w:rsid w:val="00EC1DA8"/>
    <w:rsid w:val="00EC5454"/>
    <w:rsid w:val="00ED05F0"/>
    <w:rsid w:val="00ED3836"/>
    <w:rsid w:val="00ED70AE"/>
    <w:rsid w:val="00ED747C"/>
    <w:rsid w:val="00EE21E2"/>
    <w:rsid w:val="00EF4F8F"/>
    <w:rsid w:val="00EF57E5"/>
    <w:rsid w:val="00EF6762"/>
    <w:rsid w:val="00F13FD4"/>
    <w:rsid w:val="00F33596"/>
    <w:rsid w:val="00F4755A"/>
    <w:rsid w:val="00F5204D"/>
    <w:rsid w:val="00F61662"/>
    <w:rsid w:val="00F85902"/>
    <w:rsid w:val="00F93AA0"/>
    <w:rsid w:val="00FB1713"/>
    <w:rsid w:val="00FC1D01"/>
    <w:rsid w:val="00FC3948"/>
    <w:rsid w:val="00FC5F56"/>
    <w:rsid w:val="00FE5C3F"/>
    <w:rsid w:val="00FF25F3"/>
    <w:rsid w:val="0184562D"/>
    <w:rsid w:val="02722766"/>
    <w:rsid w:val="16A0061E"/>
    <w:rsid w:val="223C4AED"/>
    <w:rsid w:val="3700999C"/>
    <w:rsid w:val="3F0C85B5"/>
    <w:rsid w:val="4A58788A"/>
    <w:rsid w:val="4D0F5E03"/>
    <w:rsid w:val="63DC08EC"/>
    <w:rsid w:val="761AA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501D"/>
  <w15:docId w15:val="{0E453B5A-7F70-401D-B580-D8C5284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75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80"/>
      <w:ind w:left="475"/>
      <w:jc w:val="both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6"/>
      <w:jc w:val="both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77"/>
      <w:ind w:left="1887" w:right="605" w:hanging="82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semiHidden/>
    <w:unhideWhenUsed/>
    <w:rsid w:val="0073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886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886"/>
    <w:rPr>
      <w:rFonts w:ascii="Cambria" w:eastAsia="Cambria" w:hAnsi="Cambria" w:cs="Cambr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3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93C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0F7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D26BE6"/>
    <w:pPr>
      <w:widowControl/>
      <w:autoSpaceDE/>
      <w:autoSpaceDN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93596E"/>
    <w:rPr>
      <w:rFonts w:ascii="Cambria" w:eastAsia="Cambria" w:hAnsi="Cambria" w:cs="Cambria"/>
      <w:sz w:val="27"/>
      <w:szCs w:val="27"/>
    </w:rPr>
  </w:style>
  <w:style w:type="character" w:styleId="Mention">
    <w:name w:val="Mention"/>
    <w:basedOn w:val="DefaultParagraphFont"/>
    <w:uiPriority w:val="99"/>
    <w:unhideWhenUsed/>
    <w:rsid w:val="00BC495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F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E5"/>
    <w:rPr>
      <w:rFonts w:ascii="Cambria" w:eastAsia="Cambria" w:hAnsi="Cambria" w:cs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E1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:%20vessel.insight@kdisupport24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esselinsight.statuspage.io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vesselinsight.statuspage.i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01793-467c-48ed-bbf8-5fb5298debb4" xsi:nil="true"/>
    <lcf76f155ced4ddcb4097134ff3c332f xmlns="e62940c8-3ee3-451d-aa07-f31c38191d9b">
      <Terms xmlns="http://schemas.microsoft.com/office/infopath/2007/PartnerControls"/>
    </lcf76f155ced4ddcb4097134ff3c332f>
    <_Flow_SignoffStatus xmlns="a4c1774c-7744-4f96-bcfa-8ca147914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B2A846C70A9469650C8E7E26200F1" ma:contentTypeVersion="9" ma:contentTypeDescription="Opprett et nytt dokument." ma:contentTypeScope="" ma:versionID="83aa16097ff3c6d517a8347eaa968642">
  <xsd:schema xmlns:xsd="http://www.w3.org/2001/XMLSchema" xmlns:xs="http://www.w3.org/2001/XMLSchema" xmlns:p="http://schemas.microsoft.com/office/2006/metadata/properties" xmlns:ns2="a4c1774c-7744-4f96-bcfa-8ca147914303" xmlns:ns3="191a1afe-b789-4b6f-9484-2f03d071d3b0" xmlns:ns4="e62940c8-3ee3-451d-aa07-f31c38191d9b" xmlns:ns5="6f601793-467c-48ed-bbf8-5fb5298debb4" targetNamespace="http://schemas.microsoft.com/office/2006/metadata/properties" ma:root="true" ma:fieldsID="4ede353c29b7c2349a17bc10a0fc71c4" ns2:_="" ns3:_="" ns4:_="" ns5:_="">
    <xsd:import namespace="a4c1774c-7744-4f96-bcfa-8ca147914303"/>
    <xsd:import namespace="191a1afe-b789-4b6f-9484-2f03d071d3b0"/>
    <xsd:import namespace="e62940c8-3ee3-451d-aa07-f31c38191d9b"/>
    <xsd:import namespace="6f601793-467c-48ed-bbf8-5fb5298de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774c-7744-4f96-bcfa-8ca14791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a1afe-b789-4b6f-9484-2f03d071d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940c8-3ee3-451d-aa07-f31c38191d9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ef7dfc-965a-419e-bdaf-b9fb4e4f3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1793-467c-48ed-bbf8-5fb5298deb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3f9ccaf-7f60-46d9-bfcc-e1217cda72ef}" ma:internalName="TaxCatchAll" ma:showField="CatchAllData" ma:web="6f601793-467c-48ed-bbf8-5fb5298d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DD761-FE8C-49F5-9F46-9157FA614C15}">
  <ds:schemaRefs>
    <ds:schemaRef ds:uri="http://schemas.microsoft.com/office/2006/metadata/properties"/>
    <ds:schemaRef ds:uri="http://schemas.microsoft.com/office/infopath/2007/PartnerControls"/>
    <ds:schemaRef ds:uri="6f601793-467c-48ed-bbf8-5fb5298debb4"/>
    <ds:schemaRef ds:uri="e62940c8-3ee3-451d-aa07-f31c38191d9b"/>
    <ds:schemaRef ds:uri="a4c1774c-7744-4f96-bcfa-8ca147914303"/>
  </ds:schemaRefs>
</ds:datastoreItem>
</file>

<file path=customXml/itemProps2.xml><?xml version="1.0" encoding="utf-8"?>
<ds:datastoreItem xmlns:ds="http://schemas.openxmlformats.org/officeDocument/2006/customXml" ds:itemID="{7CA73C23-12F1-47A1-A532-898656E83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9D025-8A35-44CC-9DFD-D689142E0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1774c-7744-4f96-bcfa-8ca147914303"/>
    <ds:schemaRef ds:uri="191a1afe-b789-4b6f-9484-2f03d071d3b0"/>
    <ds:schemaRef ds:uri="e62940c8-3ee3-451d-aa07-f31c38191d9b"/>
    <ds:schemaRef ds:uri="6f601793-467c-48ed-bbf8-5fb5298de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b8294be-1daf-4d3e-a6ad-d65452cc3d53}" enabled="1" method="Standard" siteId="{bf7cb870-b378-42ab-a618-31704bc2e9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Mendel</dc:creator>
  <cp:keywords/>
  <cp:lastModifiedBy>Eve Mendel</cp:lastModifiedBy>
  <cp:revision>47</cp:revision>
  <dcterms:created xsi:type="dcterms:W3CDTF">2025-06-06T07:51:00Z</dcterms:created>
  <dcterms:modified xsi:type="dcterms:W3CDTF">2025-06-06T09:32:00Z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2020-10-12T00:00:00Z</vt:filetime>
  </property>
  <property fmtid="{D5CDD505-2E9C-101B-9397-08002B2CF9AE}" pid="5" name="ContentTypeId">
    <vt:lpwstr>0x010100FA0B2A846C70A9469650C8E7E26200F1</vt:lpwstr>
  </property>
  <property fmtid="{D5CDD505-2E9C-101B-9397-08002B2CF9AE}" pid="6" name="MediaServiceImageTags">
    <vt:lpwstr/>
  </property>
</Properties>
</file>